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E46" w:rsidRPr="00D26E46" w:rsidRDefault="00D26E46" w:rsidP="00D26E46">
      <w:pPr>
        <w:widowControl/>
        <w:spacing w:line="469" w:lineRule="atLeast"/>
        <w:jc w:val="center"/>
        <w:rPr>
          <w:rFonts w:ascii="微软雅黑" w:eastAsia="微软雅黑" w:hAnsi="微软雅黑" w:cs="宋体" w:hint="eastAsia"/>
          <w:color w:val="000000"/>
          <w:kern w:val="0"/>
          <w:sz w:val="40"/>
          <w:szCs w:val="40"/>
        </w:rPr>
      </w:pPr>
      <w:r w:rsidRPr="00D26E46">
        <w:rPr>
          <w:rFonts w:ascii="微软雅黑" w:eastAsia="微软雅黑" w:hAnsi="微软雅黑" w:cs="宋体" w:hint="eastAsia"/>
          <w:color w:val="000000"/>
          <w:kern w:val="0"/>
          <w:sz w:val="40"/>
          <w:szCs w:val="40"/>
        </w:rPr>
        <w:t>辽宁省“十三五”高校人才培养规划</w:t>
      </w:r>
    </w:p>
    <w:p w:rsidR="00D26E46" w:rsidRPr="00D26E46" w:rsidRDefault="00D26E46" w:rsidP="00D26E46">
      <w:pPr>
        <w:widowControl/>
        <w:spacing w:line="469" w:lineRule="atLeast"/>
        <w:jc w:val="center"/>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为贯彻落实中共中央、国务院《关于全面振兴东北地区等老工业基地的若干意见》（中发〔2016〕7号）和中共中央《关于深化人才发展体制机制改革的意见》精神，依据《辽宁省国民经济和社会发展第十三个五年规划纲要》，结合辽宁经济社会发展和高校人才培养的实际，切实深化供给侧结构性改革，不断增强我省高等教育人才培养与经济社会发展的适应性，加快提高服务老工业基地全面振兴的能力，特制定本规划。</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一、 规划背景</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（一）“十三五”时期我省经济社会发展形势</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国家实施东北老工业基地振兴战略以来，我省经济社会发展取得了重要阶段性成果，正在成为全国重要经济增长区域。“十二五”时期，全省综合经济实力显著提升，GDP由2010年的1.85</w:t>
      </w:r>
      <w:proofErr w:type="gramStart"/>
      <w:r w:rsidRPr="00D26E46">
        <w:rPr>
          <w:rFonts w:ascii="宋体" w:eastAsia="宋体" w:hAnsi="宋体" w:cs="宋体" w:hint="eastAsia"/>
          <w:color w:val="000000"/>
          <w:kern w:val="0"/>
          <w:sz w:val="23"/>
          <w:szCs w:val="23"/>
        </w:rPr>
        <w:t>万亿</w:t>
      </w:r>
      <w:proofErr w:type="gramEnd"/>
      <w:r w:rsidRPr="00D26E46">
        <w:rPr>
          <w:rFonts w:ascii="宋体" w:eastAsia="宋体" w:hAnsi="宋体" w:cs="宋体" w:hint="eastAsia"/>
          <w:color w:val="000000"/>
          <w:kern w:val="0"/>
          <w:sz w:val="23"/>
          <w:szCs w:val="23"/>
        </w:rPr>
        <w:t>元增长到2015年的2.87</w:t>
      </w:r>
      <w:proofErr w:type="gramStart"/>
      <w:r w:rsidRPr="00D26E46">
        <w:rPr>
          <w:rFonts w:ascii="宋体" w:eastAsia="宋体" w:hAnsi="宋体" w:cs="宋体" w:hint="eastAsia"/>
          <w:color w:val="000000"/>
          <w:kern w:val="0"/>
          <w:sz w:val="23"/>
          <w:szCs w:val="23"/>
        </w:rPr>
        <w:t>万亿</w:t>
      </w:r>
      <w:proofErr w:type="gramEnd"/>
      <w:r w:rsidRPr="00D26E46">
        <w:rPr>
          <w:rFonts w:ascii="宋体" w:eastAsia="宋体" w:hAnsi="宋体" w:cs="宋体" w:hint="eastAsia"/>
          <w:color w:val="000000"/>
          <w:kern w:val="0"/>
          <w:sz w:val="23"/>
          <w:szCs w:val="23"/>
        </w:rPr>
        <w:t>元，增长55.1%。产业结构调整步伐加快，三次产业结构由2010年的8.8∶54.1∶37.1调整到2015年的8.3∶46.6∶45.1。产值结构呈现“二、三、一”的发展格局。</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十三五”时期，是全面建成小康社会的决胜阶段，是推进辽宁老工业基地新一轮振兴发展的关键时期。新型工业化、信息化、城镇化、农业现代化协调发展新格局基本形成。新型工业化水平达到《中国制造2025》第一阶段目标，产业迈向中高端水平，重点行业和企业具备较强国际竞争力，先进制造业强省加快建设，现代服务业和现代农业加快发展。</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大力发展先进装备制造业。全面实施《中国制造2025辽宁行动纲要》，积极对接德国工业4.0，促进新一代信息技术与装备制造业融合，提升传统装备制造业，推进高端装备和重大成套装备加快发展，构建智能制造和智能服务体系，建设国家高端装备、智能装备制造业战略基地和核心集聚区。大力发展高档数控机床、智能装备与机器人、汽车及零部件、船舶和海洋工程装备、航空航天装备、轨道交通装备、重大成套装备、3D打印装备等先进装备制造产业。</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——培育壮大战略性新兴产业。加快发展工业软件研发及服务、高性能集成电路设计、IC装备、下一代互联网、数字视听、下一代通信网络与设备、</w:t>
      </w:r>
      <w:proofErr w:type="gramStart"/>
      <w:r w:rsidRPr="00D26E46">
        <w:rPr>
          <w:rFonts w:ascii="宋体" w:eastAsia="宋体" w:hAnsi="宋体" w:cs="宋体" w:hint="eastAsia"/>
          <w:color w:val="000000"/>
          <w:kern w:val="0"/>
          <w:sz w:val="23"/>
          <w:szCs w:val="23"/>
        </w:rPr>
        <w:t>云计算</w:t>
      </w:r>
      <w:proofErr w:type="gramEnd"/>
      <w:r w:rsidRPr="00D26E46">
        <w:rPr>
          <w:rFonts w:ascii="宋体" w:eastAsia="宋体" w:hAnsi="宋体" w:cs="宋体" w:hint="eastAsia"/>
          <w:color w:val="000000"/>
          <w:kern w:val="0"/>
          <w:sz w:val="23"/>
          <w:szCs w:val="23"/>
        </w:rPr>
        <w:t>与大</w:t>
      </w:r>
      <w:r w:rsidRPr="00D26E46">
        <w:rPr>
          <w:rFonts w:ascii="宋体" w:eastAsia="宋体" w:hAnsi="宋体" w:cs="宋体" w:hint="eastAsia"/>
          <w:color w:val="000000"/>
          <w:kern w:val="0"/>
          <w:sz w:val="23"/>
          <w:szCs w:val="23"/>
        </w:rPr>
        <w:lastRenderedPageBreak/>
        <w:t>数据、物联网、卫星导航与位置服务等新一代信息技术产业；重点发展彩色超声诊断设备、磁共振成像系统等生物医学产业；重点发展余热余压利用、电机能效提升、能量系统优化、水体污染防治、大气污染治理等节能环保产业；鼓励新型太阳能电池</w:t>
      </w:r>
      <w:proofErr w:type="gramStart"/>
      <w:r w:rsidRPr="00D26E46">
        <w:rPr>
          <w:rFonts w:ascii="宋体" w:eastAsia="宋体" w:hAnsi="宋体" w:cs="宋体" w:hint="eastAsia"/>
          <w:color w:val="000000"/>
          <w:kern w:val="0"/>
          <w:sz w:val="23"/>
          <w:szCs w:val="23"/>
        </w:rPr>
        <w:t>组产品</w:t>
      </w:r>
      <w:proofErr w:type="gramEnd"/>
      <w:r w:rsidRPr="00D26E46">
        <w:rPr>
          <w:rFonts w:ascii="宋体" w:eastAsia="宋体" w:hAnsi="宋体" w:cs="宋体" w:hint="eastAsia"/>
          <w:color w:val="000000"/>
          <w:kern w:val="0"/>
          <w:sz w:val="23"/>
          <w:szCs w:val="23"/>
        </w:rPr>
        <w:t>等新能源产业；重点发展高性能玻璃纤维及制品、高品质人工晶体材料等新材料产业；重点发展纯电动汽车、插电式（</w:t>
      </w:r>
      <w:proofErr w:type="gramStart"/>
      <w:r w:rsidRPr="00D26E46">
        <w:rPr>
          <w:rFonts w:ascii="宋体" w:eastAsia="宋体" w:hAnsi="宋体" w:cs="宋体" w:hint="eastAsia"/>
          <w:color w:val="000000"/>
          <w:kern w:val="0"/>
          <w:sz w:val="23"/>
          <w:szCs w:val="23"/>
        </w:rPr>
        <w:t>含增程式</w:t>
      </w:r>
      <w:proofErr w:type="gramEnd"/>
      <w:r w:rsidRPr="00D26E46">
        <w:rPr>
          <w:rFonts w:ascii="宋体" w:eastAsia="宋体" w:hAnsi="宋体" w:cs="宋体" w:hint="eastAsia"/>
          <w:color w:val="000000"/>
          <w:kern w:val="0"/>
          <w:sz w:val="23"/>
          <w:szCs w:val="23"/>
        </w:rPr>
        <w:t>）混合动力汽车等新能源汽车产业。</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——调整优化原材料工业。调整优化原材料工业结构和空间布局，提高产业集中度和加工深度，向高加工度、延伸产业</w:t>
      </w:r>
      <w:proofErr w:type="gramStart"/>
      <w:r w:rsidRPr="00D26E46">
        <w:rPr>
          <w:rFonts w:ascii="宋体" w:eastAsia="宋体" w:hAnsi="宋体" w:cs="宋体" w:hint="eastAsia"/>
          <w:color w:val="000000"/>
          <w:kern w:val="0"/>
          <w:sz w:val="23"/>
          <w:szCs w:val="23"/>
        </w:rPr>
        <w:t>链方向</w:t>
      </w:r>
      <w:proofErr w:type="gramEnd"/>
      <w:r w:rsidRPr="00D26E46">
        <w:rPr>
          <w:rFonts w:ascii="宋体" w:eastAsia="宋体" w:hAnsi="宋体" w:cs="宋体" w:hint="eastAsia"/>
          <w:color w:val="000000"/>
          <w:kern w:val="0"/>
          <w:sz w:val="23"/>
          <w:szCs w:val="23"/>
        </w:rPr>
        <w:t>发展。加快推进石化产业转型升级；进一步调整优化冶金建材产业。</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加快服务业大发展。促进金融产业、现代物流业、信息技术服务业、科技服务业、电子商务、商务咨询服务业、会展业等生产性服务业专业化；提高旅游业、体育产业、养老家政服务业、商贸服务业、房地产业等生活性服务业品质。</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提升农业现代化水平。加快转变农业发展方式，积极构建现代农业产业体系、生产体系、经营体系，提高农业质量效益和竞争力，推动粮经饲统筹、农林牧渔结合、种养加一体、一二三产业融合发展。优化农业产业布局，积极发展特色农产品，积极推进渔业、畜牧业健康养殖，大力推进农产品深加工，开展农业产业化经营。</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（二）我省人力资源总体状况</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1、 从业人员情况</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截至2014年底，我省有法人单位数50万个，其中第一产业有1.8万个，占3.5%；第二产业12.3万个，占24.5%；第三产业有36万个，占72.0%。从业人员总数为2562.3万人，其中第一产业有687.9万人，占26.8%；第二产业有710.5万人，占27.7%；第三产业有1163.9万人，占45.4%。</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2、 人才队伍现状</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我省目前各类用人单位现有在职职工总人数为1307.7万人。全省各类企业在职职工人数为1182.5万人，事业单位94.5万人，各类机关30.7万人。各类企业在职人员中，高级管理人员、技术及产品研发人员占8.7%，一般行政人员、生产人员、服务人员占85.1%，其它人员占6.2%；具有研究生学历占1.5%，本科和专科占32.2%，中专以下占66.3%。</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lastRenderedPageBreak/>
        <w:t xml:space="preserve">　　全省装备制造业规模以上企业从业人员121.1万人、轻工行业65万人、冶金行业49.8万人、石化行业44.8万人、建材行业30.86万人、房地产业29.5万人、电子信息制造业19.3万人、纺织行业14.9万人、电力行业12.1万人、供热行业9.5万人、医药行业6.21万人、邮政行业4.5万人、水利行业0.4万人。</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全省现有涉农人才队伍总量为40万人，占农村劳动力的3.2%，其中，服务体系农业技术和经营管理人员3.5万人，村级社会服务型职业农民3.5万人，农村经营管理人才12万人，生产经营型职业农民4万人，专业技能型职业农民12万人。</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3、 “十三五”时期人才需求情况</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据人力资源部门初步调查，“十三五”期间，各类用人单位人力资源需求总量为301.3万人，年均需求量为60.3万人。其中：第一产业人才需求为9.6万人，占总需求的3.2%；第二产业人才需求为85.7万人，占总需求的28.4%；第三产业人才需求为68.1万人，占总需求的22.6%；137.9万人不限专业，占总需求的45.8%。</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在人力资源总需求中，需要博士研究生1.8万人，占总需求的0.6%；硕士研究生11.0万人，占3.7%；本科生75.3万人，占25.0%；专科生72.4万人，占24.0%；中专生79.4万人，占26.3%；其他人员61.6万人，占20.4%。</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各类企业人力资源需求282.5万人，其中，高级管理人员12.2万人，占4.3%；技术及产品研发人员17.2万人，占6.1%；专业技术人员20.9万人，占7.4%；一般行政人员23.2万人，占8.2%；生产人员118.3万人，占41.9%；服务人员90.6万人，占32.1%。</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各类企业人力资源需求中排名前10位的专业分别为：机械电子工程18.2万人，占总需求的6.5%；机械设计及理论14.4万人，占5.1%；计算机应用技术6.4万人，占2.5%；会计学6.4万人，占2.2%；企业管理6.2万人，占2.2%；电气工程5.6万人，占2.0%；计算机软件与理论4.1万人，占1.7%；公共管理4.0万人，占1.4%；食品科学与工程4.0万人，占1.4%；旅游管理4.0万人，占1.4%。排名前10位的专业共需求73.3万人，占“十三五”期间我省企业人力资源总需求的25.9%。</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（三）高校人才培养能力</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截至2015年，全省普通高校有在校生110.0万人，其中有在学博士生1.4万人，在学硕士生8.1万人，本科在校生71.1万人，高职专科在校生29.5万人；研究生、本科生、专科生在校生比例为8.6：64.6：26.8。</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lastRenderedPageBreak/>
        <w:t xml:space="preserve">　　本科人才培养能力。截至目前，我省普通高等学校本科专业全部覆盖了理学、工学、农学、医学等12个学科门类，普通高校本科共设有87个专业类，341种专业，专业布点数2325个。在校生较多的学科门类依次是：工学28.7万人，占40.4%；管理学12.0万人，占16.9%；艺术学7.6万人，占10.6%；医学6.5万人，占9.1%；文学5.2万人，占7.3%。</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高职人才培养能力。截至2015年，我省高等职业院校专业覆盖了农林牧渔、制造、财经等全部19大类，共设有75个专业类，417种专业，专业布点数1643个。在校生较多的专业大类分别是：制造5.5万人，占18.6%；财经4.9万人，占16.7%；文化教育3.4万人，占11.4%；土建2.7万人，占9.1%；交通运输2.6万人，占8.9%。</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研究生培养能力。截止2015年，我省高校所设研究生专业覆盖了理学、工学、农学、医学等全部12个学科门类。博士学位授权一级学科121个（覆盖65个一级学科），硕士学位授权一级学科325个（覆盖95个一级学科）；博士学位授权二级学科561个，硕士学位授权二级学科2102个。博士在校生较多的3个学科门类是工学7223人，占52.5%；医学1948人，占14.2%；管理学1571人，占11.4%。硕士在校生较多的3个学科门类也是工学、医学和管理学，分别为2.8万人，占34.9%；1.3万人，占16.7%；1.1万人，占14.2%。</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（四）“十二五”期间大学生就业情况</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十二五”期间，我省共有高校毕业生134.2万人，年均26.8万人，平均初次就业率为88.35%。其中，研究生13.4万人，平均初次就业率为85.88%，本科生共73.5万人，平均初次就业率为88.15%，专科生共47.3万人，平均初次就业率为89.34%。</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在就业毕业生中，省内共计接收了82.2万人，占各地</w:t>
      </w:r>
      <w:proofErr w:type="gramStart"/>
      <w:r w:rsidRPr="00D26E46">
        <w:rPr>
          <w:rFonts w:ascii="宋体" w:eastAsia="宋体" w:hAnsi="宋体" w:cs="宋体" w:hint="eastAsia"/>
          <w:color w:val="000000"/>
          <w:kern w:val="0"/>
          <w:sz w:val="23"/>
          <w:szCs w:val="23"/>
        </w:rPr>
        <w:t>接收总</w:t>
      </w:r>
      <w:proofErr w:type="gramEnd"/>
      <w:r w:rsidRPr="00D26E46">
        <w:rPr>
          <w:rFonts w:ascii="宋体" w:eastAsia="宋体" w:hAnsi="宋体" w:cs="宋体" w:hint="eastAsia"/>
          <w:color w:val="000000"/>
          <w:kern w:val="0"/>
          <w:sz w:val="23"/>
          <w:szCs w:val="23"/>
        </w:rPr>
        <w:t>人数的70.68%；省外接收34.13万人，占各地</w:t>
      </w:r>
      <w:proofErr w:type="gramStart"/>
      <w:r w:rsidRPr="00D26E46">
        <w:rPr>
          <w:rFonts w:ascii="宋体" w:eastAsia="宋体" w:hAnsi="宋体" w:cs="宋体" w:hint="eastAsia"/>
          <w:color w:val="000000"/>
          <w:kern w:val="0"/>
          <w:sz w:val="23"/>
          <w:szCs w:val="23"/>
        </w:rPr>
        <w:t>接收总</w:t>
      </w:r>
      <w:proofErr w:type="gramEnd"/>
      <w:r w:rsidRPr="00D26E46">
        <w:rPr>
          <w:rFonts w:ascii="宋体" w:eastAsia="宋体" w:hAnsi="宋体" w:cs="宋体" w:hint="eastAsia"/>
          <w:color w:val="000000"/>
          <w:kern w:val="0"/>
          <w:sz w:val="23"/>
          <w:szCs w:val="23"/>
        </w:rPr>
        <w:t>人数的29.32%。在毕业生就业单位去向中，非国有企业接收毕业生人数最多，共接收75.6万人，约占毕业生总数的56.33%，其次为国有企业，接收14.7万人，约占毕业生总数的10.95%。</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（五）人才培养与需求之间存在的主要问题</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改革开放以来，我省认真贯彻落实党中央、国务院的战略部署，紧密结合东北老工业基地振兴要求，针对全省产业布局，调整高校学科专业结构，形成了与老工业基地布局基本相适应的学科专业体系，实施系列卓越人才培养计划，加快培养紧</w:t>
      </w:r>
      <w:r w:rsidRPr="00D26E46">
        <w:rPr>
          <w:rFonts w:ascii="宋体" w:eastAsia="宋体" w:hAnsi="宋体" w:cs="宋体" w:hint="eastAsia"/>
          <w:color w:val="000000"/>
          <w:kern w:val="0"/>
          <w:sz w:val="23"/>
          <w:szCs w:val="23"/>
        </w:rPr>
        <w:lastRenderedPageBreak/>
        <w:t>缺人才，深入开展大学生创新创业教育，组建省级职教集团，着力提升高等教育人才培养服务经济社会发展的能力。</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面对全省经济社会发展的新形势、新任务、新要求，特别是产业转型升级、产品更新换代，我省高校人才培养还难以与之匹配，人才培养与人才需求间缺乏动态平衡和良性互动。一是高校和用人部门间尚未建立起有效的对接机制，人才培养的类型结构、层次结构与产业结构衔接不够紧密，存在高校人才培养与区域经济发展、行业企业实际需求相脱节现象，人才培养的适应性、针对性不强。二是区域内高校在人才培养上缺乏一定的分工与协作，高校人才培养资源整合优势不明显，部分高校办学同质化倾向严重。三是高</w:t>
      </w:r>
      <w:proofErr w:type="gramStart"/>
      <w:r w:rsidRPr="00D26E46">
        <w:rPr>
          <w:rFonts w:ascii="宋体" w:eastAsia="宋体" w:hAnsi="宋体" w:cs="宋体" w:hint="eastAsia"/>
          <w:color w:val="000000"/>
          <w:kern w:val="0"/>
          <w:sz w:val="23"/>
          <w:szCs w:val="23"/>
        </w:rPr>
        <w:t>校工学类</w:t>
      </w:r>
      <w:proofErr w:type="gramEnd"/>
      <w:r w:rsidRPr="00D26E46">
        <w:rPr>
          <w:rFonts w:ascii="宋体" w:eastAsia="宋体" w:hAnsi="宋体" w:cs="宋体" w:hint="eastAsia"/>
          <w:color w:val="000000"/>
          <w:kern w:val="0"/>
          <w:sz w:val="23"/>
          <w:szCs w:val="23"/>
        </w:rPr>
        <w:t>顶尖学科匮乏，对产业转型升级的引领作用尚显不足。</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二、 指导思想、原则与目标</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（一）指导思想</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以党的十八大、十八届三中、四中、五中全会和习近平总书记系列重要讲话精神为指导，牢固树立创新、协调、绿色、开放、共享的发展理念，围绕全面落实立德树人根本任务，以提高人才培养质量为核心，以提升服务经济社会发展能力为重点，通过优化专业结构和人才培养类型结构、深化创新创业教育改革、创新人才培养模式，实现高校人才培养与经济社会发展需要的全面对接，满足现代产业体系多样化的人才需求，为辽宁全面振兴提供强大的人才支撑。</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（二）基本原则</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坚持服务振兴原则。把服务新一轮老工业基地振兴作为高校人才培养的着眼点，充分发挥高校在人力资源开发、区域创新体系建设、保障和改善民生以及引领先进文化建设上的重要作用，全面提升高校服务经济社会发展的能力。</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坚持需求导向原则。以市场需求为导向培养人才，针对辽宁三次产业岗位对不同层次、不同类型人才总量和规格的多样化需求，合理调整研究生、本科生、专科生的层次结构和学科专业结构，满足经济建设和社会发展对人才的整体需求。</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——坚持适度超前原则。适应“中国制造2025”和“互联网+”行动计划对经济社会发展带来的影响，在人才培养规模、结构和规格上有适度超前意识，具有前瞻性，满足人才需求的不断变化。</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lastRenderedPageBreak/>
        <w:t xml:space="preserve">　　——坚持突出重点与统筹兼顾相结合原则。突出培养战略性新兴产业、现代服务业和现代农业人才，统筹培养与经济社会发展相关的基础学科人才，兼顾培养传统产业和支柱产业人才。</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（三）规划目标</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到2020年，高等教育人才培养供给侧结构性改革取得明显成效，全省高校的学科、专业基本实现与经济社会发展需求相对接，建立起与产业人力资源需求结构相适应的</w:t>
      </w:r>
      <w:proofErr w:type="gramStart"/>
      <w:r w:rsidRPr="00D26E46">
        <w:rPr>
          <w:rFonts w:ascii="宋体" w:eastAsia="宋体" w:hAnsi="宋体" w:cs="宋体" w:hint="eastAsia"/>
          <w:color w:val="000000"/>
          <w:kern w:val="0"/>
          <w:sz w:val="23"/>
          <w:szCs w:val="23"/>
        </w:rPr>
        <w:t>研</w:t>
      </w:r>
      <w:proofErr w:type="gramEnd"/>
      <w:r w:rsidRPr="00D26E46">
        <w:rPr>
          <w:rFonts w:ascii="宋体" w:eastAsia="宋体" w:hAnsi="宋体" w:cs="宋体" w:hint="eastAsia"/>
          <w:color w:val="000000"/>
          <w:kern w:val="0"/>
          <w:sz w:val="23"/>
          <w:szCs w:val="23"/>
        </w:rPr>
        <w:t>、本、专协调发展的人才培养体系。学科专业结构和人才培养类型结构更加优化，基本实现人才培养与人才需求间的动态平衡和良性互动；产教融合、校企合作的人才培养模式和机制更加完善；校内外实践教学条件和教师队伍的能力、水平满足人才培养需要，毕业生就业创业能力显著提高，高校服务辽宁新一轮老工业基地全面振兴的能力显著增强。</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——全省高校博士研究生年培养能力达到0.3万人，硕士研究生年培养能力达到3万人，本科生年培养能力达到17万人，专科生年培养能力达到10万人；主要劳动年龄人口中受过高等教育的比例达到25%以上。</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——优化专业硕士培养结构，大力发展工程硕士、建筑学硕士和农业硕士等专业学位类别，专业学位硕士研究生在校生人数达到50%。</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——全省普通高校（不含部委属院校）培养应用型人才的专业</w:t>
      </w:r>
      <w:proofErr w:type="gramStart"/>
      <w:r w:rsidRPr="00D26E46">
        <w:rPr>
          <w:rFonts w:ascii="宋体" w:eastAsia="宋体" w:hAnsi="宋体" w:cs="宋体" w:hint="eastAsia"/>
          <w:color w:val="000000"/>
          <w:kern w:val="0"/>
          <w:sz w:val="23"/>
          <w:szCs w:val="23"/>
        </w:rPr>
        <w:t>占专业</w:t>
      </w:r>
      <w:proofErr w:type="gramEnd"/>
      <w:r w:rsidRPr="00D26E46">
        <w:rPr>
          <w:rFonts w:ascii="宋体" w:eastAsia="宋体" w:hAnsi="宋体" w:cs="宋体" w:hint="eastAsia"/>
          <w:color w:val="000000"/>
          <w:kern w:val="0"/>
          <w:sz w:val="23"/>
          <w:szCs w:val="23"/>
        </w:rPr>
        <w:t>总数的70%，年培养规模达到12万人左右。</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增设面向“十三五”时期重点和战略性新兴产业的本、专科专业各20种左右；停招或撤销办学水平低、就业质量差的本、专科专业点各80个左右；扩大需求量大、就业质量高的40种左右本科专业、20种左右高职专科专业招生计划；调减供大于求、就业质量差的30种左右本科专业、20种左右专科专业招生计划。</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——打造一批与辽宁支柱产业、高新产业发展、老工业基地全面振兴相适应的产教深度融合、引领专业发展的重点专业，其中本科层次200个、专科层次200个。</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三、 重点任务</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（一）全面优化高等教育结构</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优化高等教育结构，实现人才培养结构与产业结构、经济结构、社会结构的全面衔接，满足现代产业体系和公共服务体系多样化的人才需求。从严、从紧控制高校规模，引导高校合理定位，办出特色；普通本科高校控制在65所左右，独立设置</w:t>
      </w:r>
      <w:r w:rsidRPr="00D26E46">
        <w:rPr>
          <w:rFonts w:ascii="宋体" w:eastAsia="宋体" w:hAnsi="宋体" w:cs="宋体" w:hint="eastAsia"/>
          <w:color w:val="000000"/>
          <w:kern w:val="0"/>
          <w:sz w:val="23"/>
          <w:szCs w:val="23"/>
        </w:rPr>
        <w:lastRenderedPageBreak/>
        <w:t>的高职院校控制在50所左右。坚决压缩就业率低、就业质量差的高校办学规模，扩大就业有需求，有竞争力的高校办学规模；坚决压缩服务面向不清、定位不清的高校办学规模，扩大面向现代农业、战略性新兴产业和现代服务业高校的办学规模。加快推进省域内高校分类设置的制度设计，建立区域高校分类体系，实行分类管理，加快建立分类设置、评价、指导、拨款制度。</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（二）大力调整学科专业结构</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根据《辽宁省国民经济和社会发展第十三个五年规划纲要》精神，以及全省人力资源需求、高校人才培养能力和水平、“十二五”期间大学生就业情况，结合高校“十三五”期间专业调整调查结果，通过评估、政策引导、招生计划等杠杆调解作用，对全省学科专业调整如下。</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1、 增设面向“十三五”时期重点产业和战略性新兴产业的相关专业</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大力支持高校设置面向先进装备制造业的智能装备与机器人、船舶和海洋工程装备、航空航天装备、3D打印装备等相关专业；面向新一代信息技术产业的工业软件研发及服务、高性能集成电路设计、IC装备、下一代互联网、数字视听、下一代通讯网络与设备、</w:t>
      </w:r>
      <w:proofErr w:type="gramStart"/>
      <w:r w:rsidRPr="00D26E46">
        <w:rPr>
          <w:rFonts w:ascii="宋体" w:eastAsia="宋体" w:hAnsi="宋体" w:cs="宋体" w:hint="eastAsia"/>
          <w:color w:val="000000"/>
          <w:kern w:val="0"/>
          <w:sz w:val="23"/>
          <w:szCs w:val="23"/>
        </w:rPr>
        <w:t>云计算</w:t>
      </w:r>
      <w:proofErr w:type="gramEnd"/>
      <w:r w:rsidRPr="00D26E46">
        <w:rPr>
          <w:rFonts w:ascii="宋体" w:eastAsia="宋体" w:hAnsi="宋体" w:cs="宋体" w:hint="eastAsia"/>
          <w:color w:val="000000"/>
          <w:kern w:val="0"/>
          <w:sz w:val="23"/>
          <w:szCs w:val="23"/>
        </w:rPr>
        <w:t>与大数据、物联网、卫星导航等相关专业；面向新材料产业的高性能玻璃纤维及制品、高品质人工晶体材料、化工新材料等相关专业；面向生物医学工程的彩色超声诊断设备、磁共振成像系统和医学影像等相关专业；面向节能环保产业、新能源产业、新能源汽车产业的相关专业。增设</w:t>
      </w:r>
      <w:proofErr w:type="gramStart"/>
      <w:r w:rsidRPr="00D26E46">
        <w:rPr>
          <w:rFonts w:ascii="宋体" w:eastAsia="宋体" w:hAnsi="宋体" w:cs="宋体" w:hint="eastAsia"/>
          <w:color w:val="000000"/>
          <w:kern w:val="0"/>
          <w:sz w:val="23"/>
          <w:szCs w:val="23"/>
        </w:rPr>
        <w:t>微机电</w:t>
      </w:r>
      <w:proofErr w:type="gramEnd"/>
      <w:r w:rsidRPr="00D26E46">
        <w:rPr>
          <w:rFonts w:ascii="宋体" w:eastAsia="宋体" w:hAnsi="宋体" w:cs="宋体" w:hint="eastAsia"/>
          <w:color w:val="000000"/>
          <w:kern w:val="0"/>
          <w:sz w:val="23"/>
          <w:szCs w:val="23"/>
        </w:rPr>
        <w:t>系统工程、纳米材料与技术、机器人工程等18种本科专业，新能源汽车技术、光伏发电技术及应用、云计算技术与应用等19种高职专科专业。在拟增设的37种本、专科专业中，面向第二产业的专业有25种，占67.6%；面向第三产业的专业有10种，占27.0%；面向第一产业的专业有2种，占5.4%。增设的本科、高职专科专业名单见表1、表2。</w:t>
      </w:r>
    </w:p>
    <w:p w:rsidR="00D26E46" w:rsidRPr="00D26E46" w:rsidRDefault="00D26E46" w:rsidP="00D26E46">
      <w:pPr>
        <w:widowControl/>
        <w:spacing w:line="469" w:lineRule="atLeast"/>
        <w:jc w:val="center"/>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表1“十三五”时期拟增设的本科专业</w:t>
      </w:r>
    </w:p>
    <w:p w:rsidR="00D26E46" w:rsidRPr="00D26E46" w:rsidRDefault="00D26E46" w:rsidP="00D26E46">
      <w:pPr>
        <w:widowControl/>
        <w:spacing w:line="469" w:lineRule="atLeast"/>
        <w:jc w:val="center"/>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单位：人</w:t>
      </w:r>
    </w:p>
    <w:tbl>
      <w:tblPr>
        <w:tblW w:w="0" w:type="auto"/>
        <w:jc w:val="center"/>
        <w:tblCellMar>
          <w:left w:w="0" w:type="dxa"/>
          <w:right w:w="0" w:type="dxa"/>
        </w:tblCellMar>
        <w:tblLook w:val="04A0"/>
      </w:tblPr>
      <w:tblGrid>
        <w:gridCol w:w="497"/>
        <w:gridCol w:w="1335"/>
        <w:gridCol w:w="2895"/>
        <w:gridCol w:w="979"/>
      </w:tblGrid>
      <w:tr w:rsidR="00D26E46" w:rsidRPr="00D26E46" w:rsidTr="00D26E46">
        <w:trPr>
          <w:trHeight w:val="502"/>
          <w:tblHeader/>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b/>
                <w:bCs/>
                <w:kern w:val="0"/>
                <w:sz w:val="24"/>
                <w:szCs w:val="24"/>
              </w:rPr>
            </w:pPr>
            <w:r w:rsidRPr="00D26E46">
              <w:rPr>
                <w:rFonts w:ascii="宋体" w:eastAsia="宋体" w:hAnsi="宋体" w:cs="宋体"/>
                <w:b/>
                <w:bCs/>
                <w:kern w:val="0"/>
                <w:sz w:val="24"/>
                <w:szCs w:val="24"/>
              </w:rPr>
              <w:t>序号</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b/>
                <w:bCs/>
                <w:kern w:val="0"/>
                <w:sz w:val="24"/>
                <w:szCs w:val="24"/>
              </w:rPr>
            </w:pPr>
            <w:r w:rsidRPr="00D26E46">
              <w:rPr>
                <w:rFonts w:ascii="宋体" w:eastAsia="宋体" w:hAnsi="宋体" w:cs="宋体"/>
                <w:b/>
                <w:bCs/>
                <w:kern w:val="0"/>
                <w:sz w:val="24"/>
                <w:szCs w:val="24"/>
              </w:rPr>
              <w:t>专业代码</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b/>
                <w:bCs/>
                <w:kern w:val="0"/>
                <w:sz w:val="24"/>
                <w:szCs w:val="24"/>
              </w:rPr>
            </w:pPr>
            <w:r w:rsidRPr="00D26E46">
              <w:rPr>
                <w:rFonts w:ascii="宋体" w:eastAsia="宋体" w:hAnsi="宋体" w:cs="宋体"/>
                <w:b/>
                <w:bCs/>
                <w:kern w:val="0"/>
                <w:sz w:val="24"/>
                <w:szCs w:val="24"/>
              </w:rPr>
              <w:t>专业名称</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b/>
                <w:bCs/>
                <w:kern w:val="0"/>
                <w:sz w:val="24"/>
                <w:szCs w:val="24"/>
              </w:rPr>
            </w:pPr>
            <w:r w:rsidRPr="00D26E46">
              <w:rPr>
                <w:rFonts w:ascii="宋体" w:eastAsia="宋体" w:hAnsi="宋体" w:cs="宋体"/>
                <w:b/>
                <w:bCs/>
                <w:kern w:val="0"/>
                <w:sz w:val="24"/>
                <w:szCs w:val="24"/>
              </w:rPr>
              <w:t>拟招生数</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080210</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w:t>
            </w:r>
            <w:proofErr w:type="gramStart"/>
            <w:r w:rsidRPr="00D26E46">
              <w:rPr>
                <w:rFonts w:ascii="宋体" w:eastAsia="宋体" w:hAnsi="宋体" w:cs="宋体"/>
                <w:kern w:val="0"/>
                <w:sz w:val="24"/>
                <w:szCs w:val="24"/>
              </w:rPr>
              <w:t>微机电</w:t>
            </w:r>
            <w:proofErr w:type="gramEnd"/>
            <w:r w:rsidRPr="00D26E46">
              <w:rPr>
                <w:rFonts w:ascii="宋体" w:eastAsia="宋体" w:hAnsi="宋体" w:cs="宋体"/>
                <w:kern w:val="0"/>
                <w:sz w:val="24"/>
                <w:szCs w:val="24"/>
              </w:rPr>
              <w:t>系统工程</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150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080413</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纳米材料与技术</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300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080803T</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机器人工程</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300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lastRenderedPageBreak/>
              <w:t>4</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080908</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空间信息与数字技术</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150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5</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081203</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导航工程</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150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6</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081902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海洋工程与技术</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900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7</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081903</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海洋资源开发技术</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300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8</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082007</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飞行器适航技术</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150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9</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082505T</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环保设备工程</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300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10</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互联网金融</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150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互联网+高分子材料</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150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数据科学与大数据技术</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150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13</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工业机器人维护</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150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14</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机器人及智能装备</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150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15</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机器人技术与应用</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150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16</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智能制造技术与工程</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150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17</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新能源汽车</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150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18</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体育产业管理</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150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w:t>
            </w:r>
          </w:p>
        </w:tc>
        <w:tc>
          <w:tcPr>
            <w:tcW w:w="0" w:type="auto"/>
            <w:gridSpan w:val="2"/>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合计</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4050</w:t>
            </w:r>
          </w:p>
        </w:tc>
      </w:tr>
    </w:tbl>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w:t>
      </w:r>
    </w:p>
    <w:p w:rsidR="00D26E46" w:rsidRPr="00D26E46" w:rsidRDefault="00D26E46" w:rsidP="00D26E46">
      <w:pPr>
        <w:widowControl/>
        <w:spacing w:line="469" w:lineRule="atLeast"/>
        <w:jc w:val="center"/>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表2 “十三五”时期拟增设的专科专业</w:t>
      </w:r>
    </w:p>
    <w:p w:rsidR="00D26E46" w:rsidRPr="00D26E46" w:rsidRDefault="00D26E46" w:rsidP="00D26E46">
      <w:pPr>
        <w:widowControl/>
        <w:spacing w:line="469" w:lineRule="atLeast"/>
        <w:jc w:val="center"/>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单位：人</w:t>
      </w:r>
    </w:p>
    <w:tbl>
      <w:tblPr>
        <w:tblW w:w="0" w:type="auto"/>
        <w:jc w:val="center"/>
        <w:tblCellMar>
          <w:left w:w="0" w:type="dxa"/>
          <w:right w:w="0" w:type="dxa"/>
        </w:tblCellMar>
        <w:tblLook w:val="04A0"/>
      </w:tblPr>
      <w:tblGrid>
        <w:gridCol w:w="979"/>
        <w:gridCol w:w="1461"/>
        <w:gridCol w:w="2895"/>
        <w:gridCol w:w="1461"/>
      </w:tblGrid>
      <w:tr w:rsidR="00D26E46" w:rsidRPr="00D26E46" w:rsidTr="00D26E46">
        <w:trPr>
          <w:trHeight w:val="502"/>
          <w:tblHeader/>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b/>
                <w:bCs/>
                <w:kern w:val="0"/>
                <w:sz w:val="24"/>
                <w:szCs w:val="24"/>
              </w:rPr>
            </w:pPr>
            <w:r w:rsidRPr="00D26E46">
              <w:rPr>
                <w:rFonts w:ascii="宋体" w:eastAsia="宋体" w:hAnsi="宋体" w:cs="宋体"/>
                <w:b/>
                <w:bCs/>
                <w:kern w:val="0"/>
                <w:sz w:val="24"/>
                <w:szCs w:val="24"/>
              </w:rPr>
              <w:t xml:space="preserve">　　序号</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b/>
                <w:bCs/>
                <w:kern w:val="0"/>
                <w:sz w:val="24"/>
                <w:szCs w:val="24"/>
              </w:rPr>
            </w:pPr>
            <w:r w:rsidRPr="00D26E46">
              <w:rPr>
                <w:rFonts w:ascii="宋体" w:eastAsia="宋体" w:hAnsi="宋体" w:cs="宋体"/>
                <w:b/>
                <w:bCs/>
                <w:kern w:val="0"/>
                <w:sz w:val="24"/>
                <w:szCs w:val="24"/>
              </w:rPr>
              <w:t xml:space="preserve">　　专业代码</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b/>
                <w:bCs/>
                <w:kern w:val="0"/>
                <w:sz w:val="24"/>
                <w:szCs w:val="24"/>
              </w:rPr>
            </w:pPr>
            <w:r w:rsidRPr="00D26E46">
              <w:rPr>
                <w:rFonts w:ascii="宋体" w:eastAsia="宋体" w:hAnsi="宋体" w:cs="宋体"/>
                <w:b/>
                <w:bCs/>
                <w:kern w:val="0"/>
                <w:sz w:val="24"/>
                <w:szCs w:val="24"/>
              </w:rPr>
              <w:t xml:space="preserve">　　专业名称</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b/>
                <w:bCs/>
                <w:kern w:val="0"/>
                <w:sz w:val="24"/>
                <w:szCs w:val="24"/>
              </w:rPr>
            </w:pPr>
            <w:r w:rsidRPr="00D26E46">
              <w:rPr>
                <w:rFonts w:ascii="宋体" w:eastAsia="宋体" w:hAnsi="宋体" w:cs="宋体"/>
                <w:b/>
                <w:bCs/>
                <w:kern w:val="0"/>
                <w:sz w:val="24"/>
                <w:szCs w:val="24"/>
              </w:rPr>
              <w:t xml:space="preserve">　　拟招生数</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510118</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现代农业</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150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510119</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生态农业技术</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150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510132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都市农业装备应用技术</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150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520116</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新能源汽车技术</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300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5</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520527</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无人机应用技术</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150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6</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550208</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新能源应用技术</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150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lastRenderedPageBreak/>
              <w:t>7</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550212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光伏发电技术及应用</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150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8</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550214</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太阳能光热技术及应用</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150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9</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580113</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光电制造技术</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150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10</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580217</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智能控制技术</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300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580419</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新能源汽车维修技术</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150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590132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下一代网络技术及应用</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150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13</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590208</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信息安全技术</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150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14</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590221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新能源电子技术</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150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15</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590222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数字媒体技术</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150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16</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590298</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光伏应用技术</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150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17</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590307</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卫星数字技术</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150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18</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云计算技术与应用</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150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19</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婴幼儿护理</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150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w:t>
            </w:r>
          </w:p>
        </w:tc>
        <w:tc>
          <w:tcPr>
            <w:tcW w:w="0" w:type="auto"/>
            <w:gridSpan w:val="2"/>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合计</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3150</w:t>
            </w:r>
          </w:p>
        </w:tc>
      </w:tr>
    </w:tbl>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2、 停招或撤销重复设置、办学水平低、就业质量差的部分学校的专业点</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停止本科的公共事业管理、电子商务、英语、信息与计算科学、视觉传达设计等39种专业的79个专业点的招生计划，</w:t>
      </w:r>
      <w:proofErr w:type="gramStart"/>
      <w:r w:rsidRPr="00D26E46">
        <w:rPr>
          <w:rFonts w:ascii="宋体" w:eastAsia="宋体" w:hAnsi="宋体" w:cs="宋体" w:hint="eastAsia"/>
          <w:color w:val="000000"/>
          <w:kern w:val="0"/>
          <w:sz w:val="23"/>
          <w:szCs w:val="23"/>
        </w:rPr>
        <w:t>待现有</w:t>
      </w:r>
      <w:proofErr w:type="gramEnd"/>
      <w:r w:rsidRPr="00D26E46">
        <w:rPr>
          <w:rFonts w:ascii="宋体" w:eastAsia="宋体" w:hAnsi="宋体" w:cs="宋体" w:hint="eastAsia"/>
          <w:color w:val="000000"/>
          <w:kern w:val="0"/>
          <w:sz w:val="23"/>
          <w:szCs w:val="23"/>
        </w:rPr>
        <w:t>在校生全部离校后撤销；停止专科的计算机应用技术、</w:t>
      </w:r>
      <w:proofErr w:type="gramStart"/>
      <w:r w:rsidRPr="00D26E46">
        <w:rPr>
          <w:rFonts w:ascii="宋体" w:eastAsia="宋体" w:hAnsi="宋体" w:cs="宋体" w:hint="eastAsia"/>
          <w:color w:val="000000"/>
          <w:kern w:val="0"/>
          <w:sz w:val="23"/>
          <w:szCs w:val="23"/>
        </w:rPr>
        <w:t>动漫设计</w:t>
      </w:r>
      <w:proofErr w:type="gramEnd"/>
      <w:r w:rsidRPr="00D26E46">
        <w:rPr>
          <w:rFonts w:ascii="宋体" w:eastAsia="宋体" w:hAnsi="宋体" w:cs="宋体" w:hint="eastAsia"/>
          <w:color w:val="000000"/>
          <w:kern w:val="0"/>
          <w:sz w:val="23"/>
          <w:szCs w:val="23"/>
        </w:rPr>
        <w:t>与制作、会计电算化、旅游管理、商务英语等20种专业的84个专业点的招生计划。在拟撤销的59种本、专科专业中，面向第三产业的专业有58种，占98.3%；面向第二产业的专业有1种，占1.7%。“十三五”时期拟停招或撤销的本科、专科专业点数见表3、表4。</w:t>
      </w:r>
    </w:p>
    <w:p w:rsidR="00D26E46" w:rsidRPr="00D26E46" w:rsidRDefault="00D26E46" w:rsidP="00D26E46">
      <w:pPr>
        <w:widowControl/>
        <w:spacing w:line="469" w:lineRule="atLeast"/>
        <w:jc w:val="center"/>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表3“十三五”时期拟停招或撤销的本科专业点</w:t>
      </w:r>
    </w:p>
    <w:p w:rsidR="00D26E46" w:rsidRPr="00D26E46" w:rsidRDefault="00D26E46" w:rsidP="00D26E46">
      <w:pPr>
        <w:widowControl/>
        <w:spacing w:line="469" w:lineRule="atLeast"/>
        <w:jc w:val="center"/>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单位：个</w:t>
      </w:r>
    </w:p>
    <w:tbl>
      <w:tblPr>
        <w:tblW w:w="0" w:type="auto"/>
        <w:jc w:val="center"/>
        <w:tblCellMar>
          <w:left w:w="0" w:type="dxa"/>
          <w:right w:w="0" w:type="dxa"/>
        </w:tblCellMar>
        <w:tblLook w:val="04A0"/>
      </w:tblPr>
      <w:tblGrid>
        <w:gridCol w:w="497"/>
        <w:gridCol w:w="1215"/>
        <w:gridCol w:w="2655"/>
        <w:gridCol w:w="979"/>
        <w:gridCol w:w="1220"/>
      </w:tblGrid>
      <w:tr w:rsidR="00D26E46" w:rsidRPr="00D26E46" w:rsidTr="00D26E46">
        <w:trPr>
          <w:trHeight w:val="301"/>
          <w:tblHeade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b/>
                <w:bCs/>
                <w:kern w:val="0"/>
                <w:sz w:val="24"/>
                <w:szCs w:val="24"/>
              </w:rPr>
            </w:pPr>
            <w:r w:rsidRPr="00D26E46">
              <w:rPr>
                <w:rFonts w:ascii="宋体" w:eastAsia="宋体" w:hAnsi="宋体" w:cs="宋体"/>
                <w:b/>
                <w:bCs/>
                <w:kern w:val="0"/>
                <w:sz w:val="24"/>
                <w:szCs w:val="24"/>
              </w:rPr>
              <w:t>序号</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b/>
                <w:bCs/>
                <w:kern w:val="0"/>
                <w:sz w:val="24"/>
                <w:szCs w:val="24"/>
              </w:rPr>
            </w:pPr>
            <w:r w:rsidRPr="00D26E46">
              <w:rPr>
                <w:rFonts w:ascii="宋体" w:eastAsia="宋体" w:hAnsi="宋体" w:cs="宋体"/>
                <w:b/>
                <w:bCs/>
                <w:kern w:val="0"/>
                <w:sz w:val="24"/>
                <w:szCs w:val="24"/>
              </w:rPr>
              <w:t>专业代码</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b/>
                <w:bCs/>
                <w:kern w:val="0"/>
                <w:sz w:val="24"/>
                <w:szCs w:val="24"/>
              </w:rPr>
            </w:pPr>
            <w:r w:rsidRPr="00D26E46">
              <w:rPr>
                <w:rFonts w:ascii="宋体" w:eastAsia="宋体" w:hAnsi="宋体" w:cs="宋体"/>
                <w:b/>
                <w:bCs/>
                <w:kern w:val="0"/>
                <w:sz w:val="24"/>
                <w:szCs w:val="24"/>
              </w:rPr>
              <w:t>专业名称</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b/>
                <w:bCs/>
                <w:kern w:val="0"/>
                <w:sz w:val="24"/>
                <w:szCs w:val="24"/>
              </w:rPr>
            </w:pPr>
            <w:r w:rsidRPr="00D26E46">
              <w:rPr>
                <w:rFonts w:ascii="宋体" w:eastAsia="宋体" w:hAnsi="宋体" w:cs="宋体"/>
                <w:b/>
                <w:bCs/>
                <w:kern w:val="0"/>
                <w:sz w:val="24"/>
                <w:szCs w:val="24"/>
              </w:rPr>
              <w:t>2015年</w:t>
            </w:r>
          </w:p>
          <w:p w:rsidR="00D26E46" w:rsidRPr="00D26E46" w:rsidRDefault="00D26E46" w:rsidP="00D26E46">
            <w:pPr>
              <w:widowControl/>
              <w:jc w:val="center"/>
              <w:rPr>
                <w:rFonts w:ascii="宋体" w:eastAsia="宋体" w:hAnsi="宋体" w:cs="宋体"/>
                <w:b/>
                <w:bCs/>
                <w:kern w:val="0"/>
                <w:sz w:val="24"/>
                <w:szCs w:val="24"/>
              </w:rPr>
            </w:pPr>
            <w:r w:rsidRPr="00D26E46">
              <w:rPr>
                <w:rFonts w:ascii="宋体" w:eastAsia="宋体" w:hAnsi="宋体" w:cs="宋体"/>
                <w:b/>
                <w:bCs/>
                <w:kern w:val="0"/>
                <w:sz w:val="24"/>
                <w:szCs w:val="24"/>
              </w:rPr>
              <w:t>专业点数</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b/>
                <w:bCs/>
                <w:kern w:val="0"/>
                <w:sz w:val="24"/>
                <w:szCs w:val="24"/>
              </w:rPr>
            </w:pPr>
            <w:r w:rsidRPr="00D26E46">
              <w:rPr>
                <w:rFonts w:ascii="宋体" w:eastAsia="宋体" w:hAnsi="宋体" w:cs="宋体"/>
                <w:b/>
                <w:bCs/>
                <w:kern w:val="0"/>
                <w:sz w:val="24"/>
                <w:szCs w:val="24"/>
              </w:rPr>
              <w:t>停招或撤销</w:t>
            </w:r>
          </w:p>
          <w:p w:rsidR="00D26E46" w:rsidRPr="00D26E46" w:rsidRDefault="00D26E46" w:rsidP="00D26E46">
            <w:pPr>
              <w:widowControl/>
              <w:jc w:val="center"/>
              <w:rPr>
                <w:rFonts w:ascii="宋体" w:eastAsia="宋体" w:hAnsi="宋体" w:cs="宋体"/>
                <w:b/>
                <w:bCs/>
                <w:kern w:val="0"/>
                <w:sz w:val="24"/>
                <w:szCs w:val="24"/>
              </w:rPr>
            </w:pPr>
            <w:r w:rsidRPr="00D26E46">
              <w:rPr>
                <w:rFonts w:ascii="宋体" w:eastAsia="宋体" w:hAnsi="宋体" w:cs="宋体"/>
                <w:b/>
                <w:bCs/>
                <w:kern w:val="0"/>
                <w:sz w:val="24"/>
                <w:szCs w:val="24"/>
              </w:rPr>
              <w:t>的专业点数</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010101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哲学</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5</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lastRenderedPageBreak/>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020101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经济学</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18</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020201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财政学</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6</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020401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国际经济与贸易</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33</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030201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政治学与行政学</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050201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英语</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050301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新闻学</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14</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050303</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广告学</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13</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070101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数学与应用数学</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17</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070102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信息与计算科学</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23</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071002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生物技术</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17</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80101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理论与应用力学</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080205</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工业设计</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20</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080402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材料物理</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080903</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网络工程</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081602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服装设计与工程</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6</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17</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082502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环境工程</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23</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082503</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环境科学</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14</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5</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19</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120102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信息管理与信息系统</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120201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工商管理</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21</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120202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市场营销</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38</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22</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120203</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会计学</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34</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23</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120204</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财务管理</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17</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24</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120206</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人力资源管理</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18</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25</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120401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公共事业管理</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19</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26</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120701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工业工程</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15</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lastRenderedPageBreak/>
              <w:t>27</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120801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电子商务</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18</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28</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120901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旅游管理</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24</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29</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130201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音乐表演</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130202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音乐学</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31</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130204</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舞蹈表演</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5</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32</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130205</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舞蹈学</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33</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130301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表演</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34</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130308</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录音艺术</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35</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130309</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播音与主持艺术</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8</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36</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130401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美术学</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37</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130502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视觉传达设计</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34</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38</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130504</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产品设计</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39</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130505</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服装与服饰设计</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15</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合计</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662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79</w:t>
            </w:r>
          </w:p>
        </w:tc>
      </w:tr>
    </w:tbl>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w:t>
      </w:r>
    </w:p>
    <w:p w:rsidR="00D26E46" w:rsidRPr="00D26E46" w:rsidRDefault="00D26E46" w:rsidP="00D26E46">
      <w:pPr>
        <w:widowControl/>
        <w:spacing w:line="469" w:lineRule="atLeast"/>
        <w:jc w:val="center"/>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表4“十三五”时期拟停招或撤销的专科专业点</w:t>
      </w:r>
    </w:p>
    <w:p w:rsidR="00D26E46" w:rsidRPr="00D26E46" w:rsidRDefault="00D26E46" w:rsidP="00D26E46">
      <w:pPr>
        <w:widowControl/>
        <w:spacing w:line="469" w:lineRule="atLeast"/>
        <w:jc w:val="center"/>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单位：个</w:t>
      </w:r>
    </w:p>
    <w:tbl>
      <w:tblPr>
        <w:tblW w:w="0" w:type="auto"/>
        <w:jc w:val="center"/>
        <w:tblCellMar>
          <w:left w:w="0" w:type="dxa"/>
          <w:right w:w="0" w:type="dxa"/>
        </w:tblCellMar>
        <w:tblLook w:val="04A0"/>
      </w:tblPr>
      <w:tblGrid>
        <w:gridCol w:w="497"/>
        <w:gridCol w:w="1215"/>
        <w:gridCol w:w="2175"/>
        <w:gridCol w:w="979"/>
        <w:gridCol w:w="1220"/>
      </w:tblGrid>
      <w:tr w:rsidR="00D26E46" w:rsidRPr="00D26E46" w:rsidTr="00D26E46">
        <w:trPr>
          <w:trHeight w:val="301"/>
          <w:tblHeade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b/>
                <w:bCs/>
                <w:kern w:val="0"/>
                <w:sz w:val="24"/>
                <w:szCs w:val="24"/>
              </w:rPr>
            </w:pPr>
            <w:r w:rsidRPr="00D26E46">
              <w:rPr>
                <w:rFonts w:ascii="宋体" w:eastAsia="宋体" w:hAnsi="宋体" w:cs="宋体"/>
                <w:b/>
                <w:bCs/>
                <w:kern w:val="0"/>
                <w:sz w:val="24"/>
                <w:szCs w:val="24"/>
              </w:rPr>
              <w:t>序号</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b/>
                <w:bCs/>
                <w:kern w:val="0"/>
                <w:sz w:val="24"/>
                <w:szCs w:val="24"/>
              </w:rPr>
            </w:pPr>
            <w:r w:rsidRPr="00D26E46">
              <w:rPr>
                <w:rFonts w:ascii="宋体" w:eastAsia="宋体" w:hAnsi="宋体" w:cs="宋体"/>
                <w:b/>
                <w:bCs/>
                <w:kern w:val="0"/>
                <w:sz w:val="24"/>
                <w:szCs w:val="24"/>
              </w:rPr>
              <w:t>专业代码</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b/>
                <w:bCs/>
                <w:kern w:val="0"/>
                <w:sz w:val="24"/>
                <w:szCs w:val="24"/>
              </w:rPr>
            </w:pPr>
            <w:r w:rsidRPr="00D26E46">
              <w:rPr>
                <w:rFonts w:ascii="宋体" w:eastAsia="宋体" w:hAnsi="宋体" w:cs="宋体"/>
                <w:b/>
                <w:bCs/>
                <w:kern w:val="0"/>
                <w:sz w:val="24"/>
                <w:szCs w:val="24"/>
              </w:rPr>
              <w:t>专业名称</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b/>
                <w:bCs/>
                <w:kern w:val="0"/>
                <w:sz w:val="24"/>
                <w:szCs w:val="24"/>
              </w:rPr>
            </w:pPr>
            <w:r w:rsidRPr="00D26E46">
              <w:rPr>
                <w:rFonts w:ascii="宋体" w:eastAsia="宋体" w:hAnsi="宋体" w:cs="宋体"/>
                <w:b/>
                <w:bCs/>
                <w:kern w:val="0"/>
                <w:sz w:val="24"/>
                <w:szCs w:val="24"/>
              </w:rPr>
              <w:t>2015年</w:t>
            </w:r>
          </w:p>
          <w:p w:rsidR="00D26E46" w:rsidRPr="00D26E46" w:rsidRDefault="00D26E46" w:rsidP="00D26E46">
            <w:pPr>
              <w:widowControl/>
              <w:jc w:val="center"/>
              <w:rPr>
                <w:rFonts w:ascii="宋体" w:eastAsia="宋体" w:hAnsi="宋体" w:cs="宋体"/>
                <w:b/>
                <w:bCs/>
                <w:kern w:val="0"/>
                <w:sz w:val="24"/>
                <w:szCs w:val="24"/>
              </w:rPr>
            </w:pPr>
            <w:r w:rsidRPr="00D26E46">
              <w:rPr>
                <w:rFonts w:ascii="宋体" w:eastAsia="宋体" w:hAnsi="宋体" w:cs="宋体"/>
                <w:b/>
                <w:bCs/>
                <w:kern w:val="0"/>
                <w:sz w:val="24"/>
                <w:szCs w:val="24"/>
              </w:rPr>
              <w:t>专业点数</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b/>
                <w:bCs/>
                <w:kern w:val="0"/>
                <w:sz w:val="24"/>
                <w:szCs w:val="24"/>
              </w:rPr>
            </w:pPr>
            <w:r w:rsidRPr="00D26E46">
              <w:rPr>
                <w:rFonts w:ascii="宋体" w:eastAsia="宋体" w:hAnsi="宋体" w:cs="宋体"/>
                <w:b/>
                <w:bCs/>
                <w:kern w:val="0"/>
                <w:sz w:val="24"/>
                <w:szCs w:val="24"/>
              </w:rPr>
              <w:t>停招或撤销</w:t>
            </w:r>
          </w:p>
          <w:p w:rsidR="00D26E46" w:rsidRPr="00D26E46" w:rsidRDefault="00D26E46" w:rsidP="00D26E46">
            <w:pPr>
              <w:widowControl/>
              <w:jc w:val="center"/>
              <w:rPr>
                <w:rFonts w:ascii="宋体" w:eastAsia="宋体" w:hAnsi="宋体" w:cs="宋体"/>
                <w:b/>
                <w:bCs/>
                <w:kern w:val="0"/>
                <w:sz w:val="24"/>
                <w:szCs w:val="24"/>
              </w:rPr>
            </w:pPr>
            <w:r w:rsidRPr="00D26E46">
              <w:rPr>
                <w:rFonts w:ascii="宋体" w:eastAsia="宋体" w:hAnsi="宋体" w:cs="宋体"/>
                <w:b/>
                <w:bCs/>
                <w:kern w:val="0"/>
                <w:sz w:val="24"/>
                <w:szCs w:val="24"/>
              </w:rPr>
              <w:t>的专业点数</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520605</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报关与国际货运</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13</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560105</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环境艺术设计</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560702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物业管理</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10</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590101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计算机应用技术</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26</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5</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590102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计算机网络技术</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30</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5</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590110</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w:t>
            </w:r>
            <w:proofErr w:type="gramStart"/>
            <w:r w:rsidRPr="00D26E46">
              <w:rPr>
                <w:rFonts w:ascii="宋体" w:eastAsia="宋体" w:hAnsi="宋体" w:cs="宋体"/>
                <w:kern w:val="0"/>
                <w:sz w:val="24"/>
                <w:szCs w:val="24"/>
              </w:rPr>
              <w:t>动漫设计</w:t>
            </w:r>
            <w:proofErr w:type="gramEnd"/>
            <w:r w:rsidRPr="00D26E46">
              <w:rPr>
                <w:rFonts w:ascii="宋体" w:eastAsia="宋体" w:hAnsi="宋体" w:cs="宋体"/>
                <w:kern w:val="0"/>
                <w:sz w:val="24"/>
                <w:szCs w:val="24"/>
              </w:rPr>
              <w:t>与制作</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23</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5</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620203</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会计</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15</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5</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lastRenderedPageBreak/>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620204</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会计电算化</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29</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5</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620401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市场营销</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15</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620405</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电子商务</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24</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5</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620505</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物流管理</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5</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640101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旅游管理</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33</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5</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640106</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酒店管理</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25</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5</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660102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应用英语</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13</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660107</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w:t>
            </w:r>
            <w:proofErr w:type="gramStart"/>
            <w:r w:rsidRPr="00D26E46">
              <w:rPr>
                <w:rFonts w:ascii="宋体" w:eastAsia="宋体" w:hAnsi="宋体" w:cs="宋体"/>
                <w:kern w:val="0"/>
                <w:sz w:val="24"/>
                <w:szCs w:val="24"/>
              </w:rPr>
              <w:t>应用韩语</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13</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660108</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商务英语</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25</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5</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17</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660112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文秘</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19</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670101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艺术设计</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19</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670104</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电脑艺术设计</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670112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广告设计与制作</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15</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合计</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394</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84</w:t>
            </w:r>
          </w:p>
        </w:tc>
      </w:tr>
    </w:tbl>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3、 扩大需求量大、就业质量高的专业招生计划</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对于社会短缺或市场需求量较大的机械类、材料类、计算机类、电子信息类等专业类别的相关本、专科专业适当扩大招生规模。适当扩大机械工程、船舶与海洋工程、飞行器动力工程、焊接技术与工程、轮机工程等39种本科专业；通信技术、铁道机车车辆、机械设计与制造、焊接技术及自动化、老年服务与管理等21种高职专科专业招生规模。在拟扩大招生规模的60种本、专科专业中，面向第二产业的专业有42种，占70.0%；面向第三产业的专业有18种，占30.0%。扩大招生规模的本科专业、高职专科专业名单见表5、表6。</w:t>
      </w:r>
    </w:p>
    <w:p w:rsidR="00D26E46" w:rsidRPr="00D26E46" w:rsidRDefault="00D26E46" w:rsidP="00D26E46">
      <w:pPr>
        <w:widowControl/>
        <w:spacing w:line="469" w:lineRule="atLeast"/>
        <w:jc w:val="center"/>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表5 “十三五”时期拟扩大招生规模的本科专业</w:t>
      </w:r>
    </w:p>
    <w:p w:rsidR="00D26E46" w:rsidRPr="00D26E46" w:rsidRDefault="00D26E46" w:rsidP="00D26E46">
      <w:pPr>
        <w:widowControl/>
        <w:spacing w:line="469" w:lineRule="atLeast"/>
        <w:jc w:val="center"/>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单位：人</w:t>
      </w:r>
    </w:p>
    <w:tbl>
      <w:tblPr>
        <w:tblW w:w="0" w:type="auto"/>
        <w:jc w:val="center"/>
        <w:tblCellMar>
          <w:left w:w="0" w:type="dxa"/>
          <w:right w:w="0" w:type="dxa"/>
        </w:tblCellMar>
        <w:tblLook w:val="04A0"/>
      </w:tblPr>
      <w:tblGrid>
        <w:gridCol w:w="497"/>
        <w:gridCol w:w="1215"/>
        <w:gridCol w:w="3135"/>
        <w:gridCol w:w="1313"/>
        <w:gridCol w:w="1125"/>
        <w:gridCol w:w="1037"/>
      </w:tblGrid>
      <w:tr w:rsidR="00D26E46" w:rsidRPr="00D26E46" w:rsidTr="00D26E46">
        <w:trPr>
          <w:tblHeader/>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b/>
                <w:bCs/>
                <w:kern w:val="0"/>
                <w:sz w:val="24"/>
                <w:szCs w:val="24"/>
              </w:rPr>
            </w:pPr>
            <w:r w:rsidRPr="00D26E46">
              <w:rPr>
                <w:rFonts w:ascii="宋体" w:eastAsia="宋体" w:hAnsi="宋体" w:cs="宋体"/>
                <w:b/>
                <w:bCs/>
                <w:kern w:val="0"/>
                <w:sz w:val="24"/>
                <w:szCs w:val="24"/>
              </w:rPr>
              <w:t>序号</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b/>
                <w:bCs/>
                <w:kern w:val="0"/>
                <w:sz w:val="24"/>
                <w:szCs w:val="24"/>
              </w:rPr>
            </w:pPr>
            <w:r w:rsidRPr="00D26E46">
              <w:rPr>
                <w:rFonts w:ascii="宋体" w:eastAsia="宋体" w:hAnsi="宋体" w:cs="宋体"/>
                <w:b/>
                <w:bCs/>
                <w:kern w:val="0"/>
                <w:sz w:val="24"/>
                <w:szCs w:val="24"/>
              </w:rPr>
              <w:t>专业代码</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b/>
                <w:bCs/>
                <w:kern w:val="0"/>
                <w:sz w:val="24"/>
                <w:szCs w:val="24"/>
              </w:rPr>
            </w:pPr>
            <w:r w:rsidRPr="00D26E46">
              <w:rPr>
                <w:rFonts w:ascii="宋体" w:eastAsia="宋体" w:hAnsi="宋体" w:cs="宋体"/>
                <w:b/>
                <w:bCs/>
                <w:kern w:val="0"/>
                <w:sz w:val="24"/>
                <w:szCs w:val="24"/>
              </w:rPr>
              <w:t>专业名称</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b/>
                <w:bCs/>
                <w:kern w:val="0"/>
                <w:sz w:val="24"/>
                <w:szCs w:val="24"/>
              </w:rPr>
            </w:pPr>
            <w:r w:rsidRPr="00D26E46">
              <w:rPr>
                <w:rFonts w:ascii="宋体" w:eastAsia="宋体" w:hAnsi="宋体" w:cs="宋体"/>
                <w:b/>
                <w:bCs/>
                <w:kern w:val="0"/>
                <w:sz w:val="24"/>
                <w:szCs w:val="24"/>
              </w:rPr>
              <w:t>2015年在校生数</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b/>
                <w:bCs/>
                <w:kern w:val="0"/>
                <w:sz w:val="24"/>
                <w:szCs w:val="24"/>
              </w:rPr>
            </w:pPr>
            <w:r w:rsidRPr="00D26E46">
              <w:rPr>
                <w:rFonts w:ascii="宋体" w:eastAsia="宋体" w:hAnsi="宋体" w:cs="宋体"/>
                <w:b/>
                <w:bCs/>
                <w:kern w:val="0"/>
                <w:sz w:val="24"/>
                <w:szCs w:val="24"/>
              </w:rPr>
              <w:t>2015年招生数</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b/>
                <w:bCs/>
                <w:kern w:val="0"/>
                <w:sz w:val="24"/>
                <w:szCs w:val="24"/>
              </w:rPr>
            </w:pPr>
            <w:r w:rsidRPr="00D26E46">
              <w:rPr>
                <w:rFonts w:ascii="宋体" w:eastAsia="宋体" w:hAnsi="宋体" w:cs="宋体"/>
                <w:b/>
                <w:bCs/>
                <w:kern w:val="0"/>
                <w:sz w:val="24"/>
                <w:szCs w:val="24"/>
              </w:rPr>
              <w:t>拟扩大招生数</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lastRenderedPageBreak/>
              <w:t>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050306</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网络与新媒体</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418</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235</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60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080201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机械工程</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5992</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1066</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270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080202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机械设计制造及其自动化</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20149</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4473</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900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080203</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材料成型及控制工程</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6865</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1406</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360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5</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080204</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机械电子工程</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3068</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736</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180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6</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080206</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过程装备与控制工程</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4217</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856</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210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7</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080207</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车辆工程</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4789</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1013</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240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8</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080403</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材料化学</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1169</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190</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60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9</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080406</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无机非金属材料工程</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2799</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634</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150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10</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080407</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高分子材料与工程</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3036</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717</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180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080408</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复合材料与工程</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266</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96</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080409</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粉体材料科学与工程</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143</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34</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13</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080411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焊接技术与工程</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1157</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315</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90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14</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080414</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新能源材料与器件</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532</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184</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60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15</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080501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能源与动力工程</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4742</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1097</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270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16</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080502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能源与环境系统工程</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359</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89</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17</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080503</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hyperlink r:id="rId4" w:tooltip="http://zy.upln.cn/spec/080503T.html" w:history="1">
              <w:r w:rsidRPr="00D26E46">
                <w:rPr>
                  <w:rFonts w:ascii="宋体" w:eastAsia="宋体" w:hAnsi="宋体" w:cs="宋体"/>
                  <w:color w:val="0000FF"/>
                  <w:kern w:val="0"/>
                  <w:sz w:val="24"/>
                  <w:szCs w:val="24"/>
                </w:rPr>
                <w:t xml:space="preserve">　　新能源科学与工程</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836</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217</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60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18</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080601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电气工程及其自动化</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14616</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3463</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870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19</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080602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智能电网信息工程</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205</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59</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20</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080604</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hyperlink r:id="rId5" w:tooltip="http://zy.upln.cn/spec/080604T.html" w:history="1">
              <w:r w:rsidRPr="00D26E46">
                <w:rPr>
                  <w:rFonts w:ascii="宋体" w:eastAsia="宋体" w:hAnsi="宋体" w:cs="宋体"/>
                  <w:color w:val="0000FF"/>
                  <w:kern w:val="0"/>
                  <w:sz w:val="24"/>
                  <w:szCs w:val="24"/>
                </w:rPr>
                <w:t xml:space="preserve">　　电气工程与智能控制</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304</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129</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080703</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通信工程</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8586</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1776</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450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080704</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微电子科学与工程</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382</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138</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23</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080705</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光电信息科学与工程</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1409</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369</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90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24</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080710</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集成电路设计与集成系统</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478</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133</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25</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080904</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信息安全</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440</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161</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lastRenderedPageBreak/>
              <w:t>26</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080905</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物联网工程</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2227</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634</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150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27</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080907</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智能科学与技术</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521</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149</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28</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081004</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hyperlink r:id="rId6" w:tooltip="http://zy.upln.cn/spec/081004.html" w:history="1">
              <w:r w:rsidRPr="00D26E46">
                <w:rPr>
                  <w:rFonts w:ascii="宋体" w:eastAsia="宋体" w:hAnsi="宋体" w:cs="宋体"/>
                  <w:color w:val="0000FF"/>
                  <w:kern w:val="0"/>
                  <w:sz w:val="24"/>
                  <w:szCs w:val="24"/>
                </w:rPr>
                <w:t xml:space="preserve">　　建筑电气与智能化</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503</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178</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60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29</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081303</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资源循环科学与工程</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274</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113</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30</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081304</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能源化学工程</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506</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180</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60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081804</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轮机工程</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2691</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664</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150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081901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船舶与海洋工程</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1125</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271</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60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33</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082002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飞行器设计与工程</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554</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114</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34</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082003</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飞行器制造工程</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1095</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242</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60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35</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082004</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飞行器动力工程</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753</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148</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36</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082601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生物医学工程</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1327</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317</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60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37</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082702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食品质量与安全</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1690</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361</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90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38</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090106</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设施农业科学与工程</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218</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39</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101099</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医学技术类专业</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427</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w:t>
            </w:r>
          </w:p>
        </w:tc>
        <w:tc>
          <w:tcPr>
            <w:tcW w:w="0" w:type="auto"/>
            <w:gridSpan w:val="2"/>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合计</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100868</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23007</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5610</w:t>
            </w:r>
          </w:p>
        </w:tc>
      </w:tr>
    </w:tbl>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w:t>
      </w:r>
    </w:p>
    <w:p w:rsidR="00D26E46" w:rsidRPr="00D26E46" w:rsidRDefault="00D26E46" w:rsidP="00D26E46">
      <w:pPr>
        <w:widowControl/>
        <w:spacing w:line="469" w:lineRule="atLeast"/>
        <w:jc w:val="center"/>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表6 “十三五”时期拟扩大招生规模的专科专业</w:t>
      </w:r>
    </w:p>
    <w:p w:rsidR="00D26E46" w:rsidRPr="00D26E46" w:rsidRDefault="00D26E46" w:rsidP="00D26E46">
      <w:pPr>
        <w:widowControl/>
        <w:spacing w:line="469" w:lineRule="atLeast"/>
        <w:jc w:val="center"/>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单位：人</w:t>
      </w:r>
    </w:p>
    <w:tbl>
      <w:tblPr>
        <w:tblW w:w="9460" w:type="dxa"/>
        <w:jc w:val="center"/>
        <w:tblCellMar>
          <w:left w:w="0" w:type="dxa"/>
          <w:right w:w="0" w:type="dxa"/>
        </w:tblCellMar>
        <w:tblLook w:val="04A0"/>
      </w:tblPr>
      <w:tblGrid>
        <w:gridCol w:w="586"/>
        <w:gridCol w:w="1231"/>
        <w:gridCol w:w="3178"/>
        <w:gridCol w:w="1440"/>
        <w:gridCol w:w="1544"/>
        <w:gridCol w:w="1481"/>
      </w:tblGrid>
      <w:tr w:rsidR="00D26E46" w:rsidRPr="00D26E46" w:rsidTr="00D26E46">
        <w:trPr>
          <w:trHeight w:val="435"/>
          <w:tblHeader/>
          <w:jc w:val="center"/>
        </w:trPr>
        <w:tc>
          <w:tcPr>
            <w:tcW w:w="586" w:type="dxa"/>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b/>
                <w:bCs/>
                <w:kern w:val="0"/>
                <w:sz w:val="24"/>
                <w:szCs w:val="24"/>
              </w:rPr>
            </w:pPr>
            <w:r w:rsidRPr="00D26E46">
              <w:rPr>
                <w:rFonts w:ascii="宋体" w:eastAsia="宋体" w:hAnsi="宋体" w:cs="宋体"/>
                <w:b/>
                <w:bCs/>
                <w:kern w:val="0"/>
                <w:sz w:val="24"/>
                <w:szCs w:val="24"/>
              </w:rPr>
              <w:t>序号</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b/>
                <w:bCs/>
                <w:kern w:val="0"/>
                <w:sz w:val="24"/>
                <w:szCs w:val="24"/>
              </w:rPr>
            </w:pPr>
            <w:r w:rsidRPr="00D26E46">
              <w:rPr>
                <w:rFonts w:ascii="宋体" w:eastAsia="宋体" w:hAnsi="宋体" w:cs="宋体"/>
                <w:b/>
                <w:bCs/>
                <w:kern w:val="0"/>
                <w:sz w:val="24"/>
                <w:szCs w:val="24"/>
              </w:rPr>
              <w:t>专业代码</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b/>
                <w:bCs/>
                <w:kern w:val="0"/>
                <w:sz w:val="24"/>
                <w:szCs w:val="24"/>
              </w:rPr>
            </w:pPr>
            <w:r w:rsidRPr="00D26E46">
              <w:rPr>
                <w:rFonts w:ascii="宋体" w:eastAsia="宋体" w:hAnsi="宋体" w:cs="宋体"/>
                <w:b/>
                <w:bCs/>
                <w:kern w:val="0"/>
                <w:sz w:val="24"/>
                <w:szCs w:val="24"/>
              </w:rPr>
              <w:t>专业名称</w:t>
            </w:r>
          </w:p>
        </w:tc>
        <w:tc>
          <w:tcPr>
            <w:tcW w:w="1440" w:type="dxa"/>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b/>
                <w:bCs/>
                <w:kern w:val="0"/>
                <w:sz w:val="24"/>
                <w:szCs w:val="24"/>
              </w:rPr>
            </w:pPr>
            <w:r w:rsidRPr="00D26E46">
              <w:rPr>
                <w:rFonts w:ascii="宋体" w:eastAsia="宋体" w:hAnsi="宋体" w:cs="宋体"/>
                <w:b/>
                <w:bCs/>
                <w:kern w:val="0"/>
                <w:sz w:val="24"/>
                <w:szCs w:val="24"/>
              </w:rPr>
              <w:t>2015年在校生数</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b/>
                <w:bCs/>
                <w:kern w:val="0"/>
                <w:sz w:val="24"/>
                <w:szCs w:val="24"/>
              </w:rPr>
            </w:pPr>
            <w:r w:rsidRPr="00D26E46">
              <w:rPr>
                <w:rFonts w:ascii="宋体" w:eastAsia="宋体" w:hAnsi="宋体" w:cs="宋体"/>
                <w:b/>
                <w:bCs/>
                <w:kern w:val="0"/>
                <w:sz w:val="24"/>
                <w:szCs w:val="24"/>
              </w:rPr>
              <w:t>2015年招生数</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b/>
                <w:bCs/>
                <w:kern w:val="0"/>
                <w:sz w:val="24"/>
                <w:szCs w:val="24"/>
              </w:rPr>
            </w:pPr>
            <w:r w:rsidRPr="00D26E46">
              <w:rPr>
                <w:rFonts w:ascii="宋体" w:eastAsia="宋体" w:hAnsi="宋体" w:cs="宋体"/>
                <w:b/>
                <w:bCs/>
                <w:kern w:val="0"/>
                <w:sz w:val="24"/>
                <w:szCs w:val="24"/>
              </w:rPr>
              <w:t>拟扩大招生数</w:t>
            </w:r>
          </w:p>
        </w:tc>
      </w:tr>
      <w:tr w:rsidR="00D26E46" w:rsidRPr="00D26E46" w:rsidTr="00D26E46">
        <w:trPr>
          <w:trHeight w:val="502"/>
          <w:jc w:val="center"/>
        </w:trPr>
        <w:tc>
          <w:tcPr>
            <w:tcW w:w="586" w:type="dxa"/>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520204</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铁道机车车辆</w:t>
            </w:r>
          </w:p>
        </w:tc>
        <w:tc>
          <w:tcPr>
            <w:tcW w:w="1440" w:type="dxa"/>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1386</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498</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120</w:t>
            </w:r>
          </w:p>
        </w:tc>
      </w:tr>
      <w:tr w:rsidR="00D26E46" w:rsidRPr="00D26E46" w:rsidTr="00D26E46">
        <w:trPr>
          <w:trHeight w:val="502"/>
          <w:jc w:val="center"/>
        </w:trPr>
        <w:tc>
          <w:tcPr>
            <w:tcW w:w="586" w:type="dxa"/>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520513</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飞机制造技术</w:t>
            </w:r>
          </w:p>
        </w:tc>
        <w:tc>
          <w:tcPr>
            <w:tcW w:w="1440" w:type="dxa"/>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44</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30</w:t>
            </w:r>
          </w:p>
        </w:tc>
      </w:tr>
      <w:tr w:rsidR="00D26E46" w:rsidRPr="00D26E46" w:rsidTr="00D26E46">
        <w:trPr>
          <w:trHeight w:val="502"/>
          <w:jc w:val="center"/>
        </w:trPr>
        <w:tc>
          <w:tcPr>
            <w:tcW w:w="586" w:type="dxa"/>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530205</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精细化学品生产技术</w:t>
            </w:r>
          </w:p>
        </w:tc>
        <w:tc>
          <w:tcPr>
            <w:tcW w:w="1440" w:type="dxa"/>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457</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165</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30</w:t>
            </w:r>
          </w:p>
        </w:tc>
      </w:tr>
      <w:tr w:rsidR="00D26E46" w:rsidRPr="00D26E46" w:rsidTr="00D26E46">
        <w:trPr>
          <w:trHeight w:val="502"/>
          <w:jc w:val="center"/>
        </w:trPr>
        <w:tc>
          <w:tcPr>
            <w:tcW w:w="586" w:type="dxa"/>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550103</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高分子材料应用技术</w:t>
            </w:r>
          </w:p>
        </w:tc>
        <w:tc>
          <w:tcPr>
            <w:tcW w:w="1440" w:type="dxa"/>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150</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52</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30</w:t>
            </w:r>
          </w:p>
        </w:tc>
      </w:tr>
      <w:tr w:rsidR="00D26E46" w:rsidRPr="00D26E46" w:rsidTr="00D26E46">
        <w:trPr>
          <w:trHeight w:val="502"/>
          <w:jc w:val="center"/>
        </w:trPr>
        <w:tc>
          <w:tcPr>
            <w:tcW w:w="586" w:type="dxa"/>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5</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550110</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光</w:t>
            </w:r>
            <w:proofErr w:type="gramStart"/>
            <w:r w:rsidRPr="00D26E46">
              <w:rPr>
                <w:rFonts w:ascii="宋体" w:eastAsia="宋体" w:hAnsi="宋体" w:cs="宋体"/>
                <w:kern w:val="0"/>
                <w:sz w:val="24"/>
                <w:szCs w:val="24"/>
              </w:rPr>
              <w:t>伏材料</w:t>
            </w:r>
            <w:proofErr w:type="gramEnd"/>
            <w:r w:rsidRPr="00D26E46">
              <w:rPr>
                <w:rFonts w:ascii="宋体" w:eastAsia="宋体" w:hAnsi="宋体" w:cs="宋体"/>
                <w:kern w:val="0"/>
                <w:sz w:val="24"/>
                <w:szCs w:val="24"/>
              </w:rPr>
              <w:t>加工与应用技术</w:t>
            </w:r>
          </w:p>
        </w:tc>
        <w:tc>
          <w:tcPr>
            <w:tcW w:w="1440" w:type="dxa"/>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48</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34</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30</w:t>
            </w:r>
          </w:p>
        </w:tc>
      </w:tr>
      <w:tr w:rsidR="00D26E46" w:rsidRPr="00D26E46" w:rsidTr="00D26E46">
        <w:trPr>
          <w:trHeight w:val="502"/>
          <w:jc w:val="center"/>
        </w:trPr>
        <w:tc>
          <w:tcPr>
            <w:tcW w:w="586" w:type="dxa"/>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6</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560302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地下工程与隧道工程技术</w:t>
            </w:r>
          </w:p>
        </w:tc>
        <w:tc>
          <w:tcPr>
            <w:tcW w:w="1440" w:type="dxa"/>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346</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124</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30</w:t>
            </w:r>
          </w:p>
        </w:tc>
      </w:tr>
      <w:tr w:rsidR="00D26E46" w:rsidRPr="00D26E46" w:rsidTr="00D26E46">
        <w:trPr>
          <w:trHeight w:val="502"/>
          <w:jc w:val="center"/>
        </w:trPr>
        <w:tc>
          <w:tcPr>
            <w:tcW w:w="586" w:type="dxa"/>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lastRenderedPageBreak/>
              <w:t>7</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580101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机械设计与制造</w:t>
            </w:r>
          </w:p>
        </w:tc>
        <w:tc>
          <w:tcPr>
            <w:tcW w:w="1440" w:type="dxa"/>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2914</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1018</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240</w:t>
            </w:r>
          </w:p>
        </w:tc>
      </w:tr>
      <w:tr w:rsidR="00D26E46" w:rsidRPr="00D26E46" w:rsidTr="00D26E46">
        <w:trPr>
          <w:trHeight w:val="502"/>
          <w:jc w:val="center"/>
        </w:trPr>
        <w:tc>
          <w:tcPr>
            <w:tcW w:w="586" w:type="dxa"/>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8</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580108</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焊接技术及自动化</w:t>
            </w:r>
          </w:p>
        </w:tc>
        <w:tc>
          <w:tcPr>
            <w:tcW w:w="1440" w:type="dxa"/>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2485</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723</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180</w:t>
            </w:r>
          </w:p>
        </w:tc>
      </w:tr>
      <w:tr w:rsidR="00D26E46" w:rsidRPr="00D26E46" w:rsidTr="00D26E46">
        <w:trPr>
          <w:trHeight w:val="502"/>
          <w:jc w:val="center"/>
        </w:trPr>
        <w:tc>
          <w:tcPr>
            <w:tcW w:w="586" w:type="dxa"/>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9</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580111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精密机械技术</w:t>
            </w:r>
          </w:p>
        </w:tc>
        <w:tc>
          <w:tcPr>
            <w:tcW w:w="1440" w:type="dxa"/>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137</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67</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30</w:t>
            </w:r>
          </w:p>
        </w:tc>
      </w:tr>
      <w:tr w:rsidR="00D26E46" w:rsidRPr="00D26E46" w:rsidTr="00D26E46">
        <w:trPr>
          <w:trHeight w:val="502"/>
          <w:jc w:val="center"/>
        </w:trPr>
        <w:tc>
          <w:tcPr>
            <w:tcW w:w="586" w:type="dxa"/>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10</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580205</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计算机控制技术</w:t>
            </w:r>
          </w:p>
        </w:tc>
        <w:tc>
          <w:tcPr>
            <w:tcW w:w="1440" w:type="dxa"/>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180</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98</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30</w:t>
            </w:r>
          </w:p>
        </w:tc>
      </w:tr>
      <w:tr w:rsidR="00D26E46" w:rsidRPr="00D26E46" w:rsidTr="00D26E46">
        <w:trPr>
          <w:trHeight w:val="502"/>
          <w:jc w:val="center"/>
        </w:trPr>
        <w:tc>
          <w:tcPr>
            <w:tcW w:w="586" w:type="dxa"/>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580216</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工业自动化仪表</w:t>
            </w:r>
          </w:p>
        </w:tc>
        <w:tc>
          <w:tcPr>
            <w:tcW w:w="1440" w:type="dxa"/>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144</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82</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30</w:t>
            </w:r>
          </w:p>
        </w:tc>
      </w:tr>
      <w:tr w:rsidR="00D26E46" w:rsidRPr="00D26E46" w:rsidTr="00D26E46">
        <w:trPr>
          <w:trHeight w:val="502"/>
          <w:jc w:val="center"/>
        </w:trPr>
        <w:tc>
          <w:tcPr>
            <w:tcW w:w="586" w:type="dxa"/>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580218</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工业机器人技术</w:t>
            </w:r>
          </w:p>
        </w:tc>
        <w:tc>
          <w:tcPr>
            <w:tcW w:w="1440" w:type="dxa"/>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76</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76</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30</w:t>
            </w:r>
          </w:p>
        </w:tc>
      </w:tr>
      <w:tr w:rsidR="00D26E46" w:rsidRPr="00D26E46" w:rsidTr="00D26E46">
        <w:trPr>
          <w:trHeight w:val="502"/>
          <w:jc w:val="center"/>
        </w:trPr>
        <w:tc>
          <w:tcPr>
            <w:tcW w:w="586" w:type="dxa"/>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13</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580302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数控设备应用与维护</w:t>
            </w:r>
          </w:p>
        </w:tc>
        <w:tc>
          <w:tcPr>
            <w:tcW w:w="1440" w:type="dxa"/>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1477</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441</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120</w:t>
            </w:r>
          </w:p>
        </w:tc>
      </w:tr>
      <w:tr w:rsidR="00D26E46" w:rsidRPr="00D26E46" w:rsidTr="00D26E46">
        <w:trPr>
          <w:trHeight w:val="502"/>
          <w:jc w:val="center"/>
        </w:trPr>
        <w:tc>
          <w:tcPr>
            <w:tcW w:w="586" w:type="dxa"/>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14</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590129</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物联网应用技术</w:t>
            </w:r>
          </w:p>
        </w:tc>
        <w:tc>
          <w:tcPr>
            <w:tcW w:w="1440" w:type="dxa"/>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775</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379</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90</w:t>
            </w:r>
          </w:p>
        </w:tc>
      </w:tr>
      <w:tr w:rsidR="00D26E46" w:rsidRPr="00D26E46" w:rsidTr="00D26E46">
        <w:trPr>
          <w:trHeight w:val="502"/>
          <w:jc w:val="center"/>
        </w:trPr>
        <w:tc>
          <w:tcPr>
            <w:tcW w:w="586" w:type="dxa"/>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15</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590214</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光电子技术</w:t>
            </w:r>
          </w:p>
        </w:tc>
        <w:tc>
          <w:tcPr>
            <w:tcW w:w="1440" w:type="dxa"/>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127</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44</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30</w:t>
            </w:r>
          </w:p>
        </w:tc>
      </w:tr>
      <w:tr w:rsidR="00D26E46" w:rsidRPr="00D26E46" w:rsidTr="00D26E46">
        <w:trPr>
          <w:trHeight w:val="502"/>
          <w:jc w:val="center"/>
        </w:trPr>
        <w:tc>
          <w:tcPr>
            <w:tcW w:w="586" w:type="dxa"/>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16</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590234</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移动互联应用技术</w:t>
            </w:r>
          </w:p>
        </w:tc>
        <w:tc>
          <w:tcPr>
            <w:tcW w:w="1440" w:type="dxa"/>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30</w:t>
            </w:r>
          </w:p>
        </w:tc>
      </w:tr>
      <w:tr w:rsidR="00D26E46" w:rsidRPr="00D26E46" w:rsidTr="00D26E46">
        <w:trPr>
          <w:trHeight w:val="502"/>
          <w:jc w:val="center"/>
        </w:trPr>
        <w:tc>
          <w:tcPr>
            <w:tcW w:w="586" w:type="dxa"/>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17</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590301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通信技术</w:t>
            </w:r>
          </w:p>
        </w:tc>
        <w:tc>
          <w:tcPr>
            <w:tcW w:w="1440" w:type="dxa"/>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1193</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472</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120</w:t>
            </w:r>
          </w:p>
        </w:tc>
      </w:tr>
      <w:tr w:rsidR="00D26E46" w:rsidRPr="00D26E46" w:rsidTr="00D26E46">
        <w:trPr>
          <w:trHeight w:val="502"/>
          <w:jc w:val="center"/>
        </w:trPr>
        <w:tc>
          <w:tcPr>
            <w:tcW w:w="586" w:type="dxa"/>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18</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590302</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移动通信技术</w:t>
            </w:r>
          </w:p>
        </w:tc>
        <w:tc>
          <w:tcPr>
            <w:tcW w:w="1440" w:type="dxa"/>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923</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435</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90</w:t>
            </w:r>
          </w:p>
        </w:tc>
      </w:tr>
      <w:tr w:rsidR="00D26E46" w:rsidRPr="00D26E46" w:rsidTr="00D26E46">
        <w:trPr>
          <w:trHeight w:val="502"/>
          <w:jc w:val="center"/>
        </w:trPr>
        <w:tc>
          <w:tcPr>
            <w:tcW w:w="586" w:type="dxa"/>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19</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650301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家政服务</w:t>
            </w:r>
          </w:p>
        </w:tc>
        <w:tc>
          <w:tcPr>
            <w:tcW w:w="1440" w:type="dxa"/>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135</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37</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30</w:t>
            </w:r>
          </w:p>
        </w:tc>
      </w:tr>
      <w:tr w:rsidR="00D26E46" w:rsidRPr="00D26E46" w:rsidTr="00D26E46">
        <w:trPr>
          <w:trHeight w:val="502"/>
          <w:jc w:val="center"/>
        </w:trPr>
        <w:tc>
          <w:tcPr>
            <w:tcW w:w="586" w:type="dxa"/>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20</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650302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老年服务与管理</w:t>
            </w:r>
          </w:p>
        </w:tc>
        <w:tc>
          <w:tcPr>
            <w:tcW w:w="1440" w:type="dxa"/>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553</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232</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60</w:t>
            </w:r>
          </w:p>
        </w:tc>
      </w:tr>
      <w:tr w:rsidR="00D26E46" w:rsidRPr="00D26E46" w:rsidTr="00D26E46">
        <w:trPr>
          <w:trHeight w:val="502"/>
          <w:jc w:val="center"/>
        </w:trPr>
        <w:tc>
          <w:tcPr>
            <w:tcW w:w="586" w:type="dxa"/>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650303</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社区康复</w:t>
            </w:r>
          </w:p>
        </w:tc>
        <w:tc>
          <w:tcPr>
            <w:tcW w:w="1440" w:type="dxa"/>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37</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37</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30</w:t>
            </w:r>
          </w:p>
        </w:tc>
      </w:tr>
      <w:tr w:rsidR="00D26E46" w:rsidRPr="00D26E46" w:rsidTr="00D26E46">
        <w:trPr>
          <w:trHeight w:val="502"/>
          <w:jc w:val="center"/>
        </w:trPr>
        <w:tc>
          <w:tcPr>
            <w:tcW w:w="586" w:type="dxa"/>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w:t>
            </w:r>
          </w:p>
        </w:tc>
        <w:tc>
          <w:tcPr>
            <w:tcW w:w="0" w:type="auto"/>
            <w:gridSpan w:val="2"/>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合计</w:t>
            </w:r>
          </w:p>
        </w:tc>
        <w:tc>
          <w:tcPr>
            <w:tcW w:w="1440" w:type="dxa"/>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13617</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5044</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1410</w:t>
            </w:r>
          </w:p>
        </w:tc>
      </w:tr>
    </w:tbl>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4、 调减供大于求、就业质量差的专业招生计划</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调减广播电视编导、国际经济与贸易、会计学、英语等31种本科专业，主持与播音、经济管理、艺术设计、法律事务等18种专科专业招生计划，以2015年为基数，每年调减招生计划的5%。拟调减招生规模的49种本、专科专业中，面向第三产业的专业有48种，占98.0%；面向第二产业的专业有1种，占2.0%。调减招生计划的本科专业、专科专业名单见表7、表8。</w:t>
      </w:r>
    </w:p>
    <w:p w:rsidR="00D26E46" w:rsidRPr="00D26E46" w:rsidRDefault="00D26E46" w:rsidP="00D26E46">
      <w:pPr>
        <w:widowControl/>
        <w:spacing w:line="469" w:lineRule="atLeast"/>
        <w:jc w:val="center"/>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表7“十三五”时期拟缩减招生规模的本科专业</w:t>
      </w:r>
    </w:p>
    <w:p w:rsidR="00D26E46" w:rsidRPr="00D26E46" w:rsidRDefault="00D26E46" w:rsidP="00D26E46">
      <w:pPr>
        <w:widowControl/>
        <w:spacing w:line="469" w:lineRule="atLeast"/>
        <w:jc w:val="center"/>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单位：人</w:t>
      </w:r>
    </w:p>
    <w:tbl>
      <w:tblPr>
        <w:tblW w:w="0" w:type="auto"/>
        <w:jc w:val="center"/>
        <w:tblCellMar>
          <w:left w:w="0" w:type="dxa"/>
          <w:right w:w="0" w:type="dxa"/>
        </w:tblCellMar>
        <w:tblLook w:val="04A0"/>
      </w:tblPr>
      <w:tblGrid>
        <w:gridCol w:w="497"/>
        <w:gridCol w:w="1215"/>
        <w:gridCol w:w="2415"/>
        <w:gridCol w:w="979"/>
        <w:gridCol w:w="800"/>
        <w:gridCol w:w="738"/>
      </w:tblGrid>
      <w:tr w:rsidR="00D26E46" w:rsidRPr="00D26E46" w:rsidTr="00D26E46">
        <w:trPr>
          <w:tblHeader/>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b/>
                <w:bCs/>
                <w:kern w:val="0"/>
                <w:sz w:val="24"/>
                <w:szCs w:val="24"/>
              </w:rPr>
            </w:pPr>
            <w:r w:rsidRPr="00D26E46">
              <w:rPr>
                <w:rFonts w:ascii="宋体" w:eastAsia="宋体" w:hAnsi="宋体" w:cs="宋体"/>
                <w:b/>
                <w:bCs/>
                <w:kern w:val="0"/>
                <w:sz w:val="24"/>
                <w:szCs w:val="24"/>
              </w:rPr>
              <w:t>序号</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b/>
                <w:bCs/>
                <w:kern w:val="0"/>
                <w:sz w:val="24"/>
                <w:szCs w:val="24"/>
              </w:rPr>
            </w:pPr>
            <w:r w:rsidRPr="00D26E46">
              <w:rPr>
                <w:rFonts w:ascii="宋体" w:eastAsia="宋体" w:hAnsi="宋体" w:cs="宋体"/>
                <w:b/>
                <w:bCs/>
                <w:kern w:val="0"/>
                <w:sz w:val="24"/>
                <w:szCs w:val="24"/>
              </w:rPr>
              <w:t>专业代码</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b/>
                <w:bCs/>
                <w:kern w:val="0"/>
                <w:sz w:val="24"/>
                <w:szCs w:val="24"/>
              </w:rPr>
            </w:pPr>
            <w:r w:rsidRPr="00D26E46">
              <w:rPr>
                <w:rFonts w:ascii="宋体" w:eastAsia="宋体" w:hAnsi="宋体" w:cs="宋体"/>
                <w:b/>
                <w:bCs/>
                <w:kern w:val="0"/>
                <w:sz w:val="24"/>
                <w:szCs w:val="24"/>
              </w:rPr>
              <w:t>专业名称</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b/>
                <w:bCs/>
                <w:kern w:val="0"/>
                <w:sz w:val="24"/>
                <w:szCs w:val="24"/>
              </w:rPr>
            </w:pPr>
            <w:r w:rsidRPr="00D26E46">
              <w:rPr>
                <w:rFonts w:ascii="宋体" w:eastAsia="宋体" w:hAnsi="宋体" w:cs="宋体"/>
                <w:b/>
                <w:bCs/>
                <w:kern w:val="0"/>
                <w:sz w:val="24"/>
                <w:szCs w:val="24"/>
              </w:rPr>
              <w:t>2015年</w:t>
            </w:r>
          </w:p>
          <w:p w:rsidR="00D26E46" w:rsidRPr="00D26E46" w:rsidRDefault="00D26E46" w:rsidP="00D26E46">
            <w:pPr>
              <w:widowControl/>
              <w:jc w:val="center"/>
              <w:rPr>
                <w:rFonts w:ascii="宋体" w:eastAsia="宋体" w:hAnsi="宋体" w:cs="宋体"/>
                <w:b/>
                <w:bCs/>
                <w:kern w:val="0"/>
                <w:sz w:val="24"/>
                <w:szCs w:val="24"/>
              </w:rPr>
            </w:pPr>
            <w:r w:rsidRPr="00D26E46">
              <w:rPr>
                <w:rFonts w:ascii="宋体" w:eastAsia="宋体" w:hAnsi="宋体" w:cs="宋体"/>
                <w:b/>
                <w:bCs/>
                <w:kern w:val="0"/>
                <w:sz w:val="24"/>
                <w:szCs w:val="24"/>
              </w:rPr>
              <w:t>在校生数</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b/>
                <w:bCs/>
                <w:kern w:val="0"/>
                <w:sz w:val="24"/>
                <w:szCs w:val="24"/>
              </w:rPr>
            </w:pPr>
            <w:r w:rsidRPr="00D26E46">
              <w:rPr>
                <w:rFonts w:ascii="宋体" w:eastAsia="宋体" w:hAnsi="宋体" w:cs="宋体"/>
                <w:b/>
                <w:bCs/>
                <w:kern w:val="0"/>
                <w:sz w:val="24"/>
                <w:szCs w:val="24"/>
              </w:rPr>
              <w:t>2015年</w:t>
            </w:r>
          </w:p>
          <w:p w:rsidR="00D26E46" w:rsidRPr="00D26E46" w:rsidRDefault="00D26E46" w:rsidP="00D26E46">
            <w:pPr>
              <w:widowControl/>
              <w:jc w:val="center"/>
              <w:rPr>
                <w:rFonts w:ascii="宋体" w:eastAsia="宋体" w:hAnsi="宋体" w:cs="宋体"/>
                <w:b/>
                <w:bCs/>
                <w:kern w:val="0"/>
                <w:sz w:val="24"/>
                <w:szCs w:val="24"/>
              </w:rPr>
            </w:pPr>
            <w:r w:rsidRPr="00D26E46">
              <w:rPr>
                <w:rFonts w:ascii="宋体" w:eastAsia="宋体" w:hAnsi="宋体" w:cs="宋体"/>
                <w:b/>
                <w:bCs/>
                <w:kern w:val="0"/>
                <w:sz w:val="24"/>
                <w:szCs w:val="24"/>
              </w:rPr>
              <w:t>招生数</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b/>
                <w:bCs/>
                <w:kern w:val="0"/>
                <w:sz w:val="24"/>
                <w:szCs w:val="24"/>
              </w:rPr>
            </w:pPr>
            <w:r w:rsidRPr="00D26E46">
              <w:rPr>
                <w:rFonts w:ascii="宋体" w:eastAsia="宋体" w:hAnsi="宋体" w:cs="宋体"/>
                <w:b/>
                <w:bCs/>
                <w:kern w:val="0"/>
                <w:sz w:val="24"/>
                <w:szCs w:val="24"/>
              </w:rPr>
              <w:t>拟调减</w:t>
            </w:r>
          </w:p>
          <w:p w:rsidR="00D26E46" w:rsidRPr="00D26E46" w:rsidRDefault="00D26E46" w:rsidP="00D26E46">
            <w:pPr>
              <w:widowControl/>
              <w:jc w:val="center"/>
              <w:rPr>
                <w:rFonts w:ascii="宋体" w:eastAsia="宋体" w:hAnsi="宋体" w:cs="宋体"/>
                <w:b/>
                <w:bCs/>
                <w:kern w:val="0"/>
                <w:sz w:val="24"/>
                <w:szCs w:val="24"/>
              </w:rPr>
            </w:pPr>
            <w:r w:rsidRPr="00D26E46">
              <w:rPr>
                <w:rFonts w:ascii="宋体" w:eastAsia="宋体" w:hAnsi="宋体" w:cs="宋体"/>
                <w:b/>
                <w:bCs/>
                <w:kern w:val="0"/>
                <w:sz w:val="24"/>
                <w:szCs w:val="24"/>
              </w:rPr>
              <w:t>招生数</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lastRenderedPageBreak/>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020101</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经济学</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4380</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945</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210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020401</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国际经济与贸易</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11613</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2771</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630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030101</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法学</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7963</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1935</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440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040201</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体育教育</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2964</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744</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170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050201</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英语</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17083</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3757</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850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050303</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广告学</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2045</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484</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110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070101</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数学与应用数学</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4105</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842</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190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070201</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物理学</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1619</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348</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80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071102</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应用心理学</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1090</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247</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50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080205</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工业设计</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3148</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614</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140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080901</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计算机科学与技术</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21923</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5269</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1190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081602</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服装设计与工程</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1363</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179</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120201</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工商管理</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9271</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1918</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430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120202</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市场营销</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10186</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2128</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480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120203</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会计学</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30660</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6819</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1540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120204</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财务管理</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7026</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1820</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410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17</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120701</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工业工程</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3222</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824</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190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120801</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电子商务</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3745</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1016</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230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19</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130201</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音乐表演</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6053</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1416</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320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130202</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音乐学</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4282</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816</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180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21</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130301</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表演</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4090</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934</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210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22</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130305</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广播电视编导</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3296</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723</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160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23</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130307</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戏剧影视美术设计</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856</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185</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24</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130309</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播音与主持艺术</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3036</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693</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160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25</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130401</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美术学</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1457</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419</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90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lastRenderedPageBreak/>
              <w:t>26</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130502</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视觉传达设计</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10287</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2885</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650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27</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130503</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环境设计</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10445</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2529</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570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28</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130504</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产品设计</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4891</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1483</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330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29</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130505</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服装与服饰设计</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4194</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1426</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320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130507</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工艺美术</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423</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129</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31</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130508</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数字媒体艺术</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1803</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578</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130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合计</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198519</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46876</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10750</w:t>
            </w:r>
          </w:p>
        </w:tc>
      </w:tr>
    </w:tbl>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w:t>
      </w:r>
    </w:p>
    <w:p w:rsidR="00D26E46" w:rsidRPr="00D26E46" w:rsidRDefault="00D26E46" w:rsidP="00D26E46">
      <w:pPr>
        <w:widowControl/>
        <w:spacing w:line="469" w:lineRule="atLeast"/>
        <w:jc w:val="center"/>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表8 “十三五”时期拟缩减招生规模的专科专业</w:t>
      </w:r>
    </w:p>
    <w:p w:rsidR="00D26E46" w:rsidRPr="00D26E46" w:rsidRDefault="00D26E46" w:rsidP="00D26E46">
      <w:pPr>
        <w:widowControl/>
        <w:spacing w:line="469" w:lineRule="atLeast"/>
        <w:jc w:val="center"/>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单位：人</w:t>
      </w:r>
    </w:p>
    <w:tbl>
      <w:tblPr>
        <w:tblW w:w="0" w:type="auto"/>
        <w:jc w:val="center"/>
        <w:tblCellMar>
          <w:left w:w="0" w:type="dxa"/>
          <w:right w:w="0" w:type="dxa"/>
        </w:tblCellMar>
        <w:tblLook w:val="04A0"/>
      </w:tblPr>
      <w:tblGrid>
        <w:gridCol w:w="497"/>
        <w:gridCol w:w="1215"/>
        <w:gridCol w:w="2415"/>
        <w:gridCol w:w="979"/>
        <w:gridCol w:w="800"/>
        <w:gridCol w:w="738"/>
      </w:tblGrid>
      <w:tr w:rsidR="00D26E46" w:rsidRPr="00D26E46" w:rsidTr="00D26E46">
        <w:trPr>
          <w:tblHeader/>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b/>
                <w:bCs/>
                <w:kern w:val="0"/>
                <w:sz w:val="24"/>
                <w:szCs w:val="24"/>
              </w:rPr>
            </w:pPr>
            <w:r w:rsidRPr="00D26E46">
              <w:rPr>
                <w:rFonts w:ascii="宋体" w:eastAsia="宋体" w:hAnsi="宋体" w:cs="宋体"/>
                <w:b/>
                <w:bCs/>
                <w:kern w:val="0"/>
                <w:sz w:val="24"/>
                <w:szCs w:val="24"/>
              </w:rPr>
              <w:t>序号</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b/>
                <w:bCs/>
                <w:kern w:val="0"/>
                <w:sz w:val="24"/>
                <w:szCs w:val="24"/>
              </w:rPr>
            </w:pPr>
            <w:r w:rsidRPr="00D26E46">
              <w:rPr>
                <w:rFonts w:ascii="宋体" w:eastAsia="宋体" w:hAnsi="宋体" w:cs="宋体"/>
                <w:b/>
                <w:bCs/>
                <w:kern w:val="0"/>
                <w:sz w:val="24"/>
                <w:szCs w:val="24"/>
              </w:rPr>
              <w:t>代码</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b/>
                <w:bCs/>
                <w:kern w:val="0"/>
                <w:sz w:val="24"/>
                <w:szCs w:val="24"/>
              </w:rPr>
            </w:pPr>
            <w:r w:rsidRPr="00D26E46">
              <w:rPr>
                <w:rFonts w:ascii="宋体" w:eastAsia="宋体" w:hAnsi="宋体" w:cs="宋体"/>
                <w:b/>
                <w:bCs/>
                <w:kern w:val="0"/>
                <w:sz w:val="24"/>
                <w:szCs w:val="24"/>
              </w:rPr>
              <w:t>专业名称</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b/>
                <w:bCs/>
                <w:kern w:val="0"/>
                <w:sz w:val="24"/>
                <w:szCs w:val="24"/>
              </w:rPr>
            </w:pPr>
            <w:r w:rsidRPr="00D26E46">
              <w:rPr>
                <w:rFonts w:ascii="宋体" w:eastAsia="宋体" w:hAnsi="宋体" w:cs="宋体"/>
                <w:b/>
                <w:bCs/>
                <w:kern w:val="0"/>
                <w:sz w:val="24"/>
                <w:szCs w:val="24"/>
              </w:rPr>
              <w:t>2015年</w:t>
            </w:r>
          </w:p>
          <w:p w:rsidR="00D26E46" w:rsidRPr="00D26E46" w:rsidRDefault="00D26E46" w:rsidP="00D26E46">
            <w:pPr>
              <w:widowControl/>
              <w:jc w:val="center"/>
              <w:rPr>
                <w:rFonts w:ascii="宋体" w:eastAsia="宋体" w:hAnsi="宋体" w:cs="宋体"/>
                <w:b/>
                <w:bCs/>
                <w:kern w:val="0"/>
                <w:sz w:val="24"/>
                <w:szCs w:val="24"/>
              </w:rPr>
            </w:pPr>
            <w:r w:rsidRPr="00D26E46">
              <w:rPr>
                <w:rFonts w:ascii="宋体" w:eastAsia="宋体" w:hAnsi="宋体" w:cs="宋体"/>
                <w:b/>
                <w:bCs/>
                <w:kern w:val="0"/>
                <w:sz w:val="24"/>
                <w:szCs w:val="24"/>
              </w:rPr>
              <w:t>在校生数</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b/>
                <w:bCs/>
                <w:kern w:val="0"/>
                <w:sz w:val="24"/>
                <w:szCs w:val="24"/>
              </w:rPr>
            </w:pPr>
            <w:r w:rsidRPr="00D26E46">
              <w:rPr>
                <w:rFonts w:ascii="宋体" w:eastAsia="宋体" w:hAnsi="宋体" w:cs="宋体"/>
                <w:b/>
                <w:bCs/>
                <w:kern w:val="0"/>
                <w:sz w:val="24"/>
                <w:szCs w:val="24"/>
              </w:rPr>
              <w:t>2015年</w:t>
            </w:r>
          </w:p>
          <w:p w:rsidR="00D26E46" w:rsidRPr="00D26E46" w:rsidRDefault="00D26E46" w:rsidP="00D26E46">
            <w:pPr>
              <w:widowControl/>
              <w:jc w:val="center"/>
              <w:rPr>
                <w:rFonts w:ascii="宋体" w:eastAsia="宋体" w:hAnsi="宋体" w:cs="宋体"/>
                <w:b/>
                <w:bCs/>
                <w:kern w:val="0"/>
                <w:sz w:val="24"/>
                <w:szCs w:val="24"/>
              </w:rPr>
            </w:pPr>
            <w:r w:rsidRPr="00D26E46">
              <w:rPr>
                <w:rFonts w:ascii="宋体" w:eastAsia="宋体" w:hAnsi="宋体" w:cs="宋体"/>
                <w:b/>
                <w:bCs/>
                <w:kern w:val="0"/>
                <w:sz w:val="24"/>
                <w:szCs w:val="24"/>
              </w:rPr>
              <w:t>招生数</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b/>
                <w:bCs/>
                <w:kern w:val="0"/>
                <w:sz w:val="24"/>
                <w:szCs w:val="24"/>
              </w:rPr>
            </w:pPr>
            <w:r w:rsidRPr="00D26E46">
              <w:rPr>
                <w:rFonts w:ascii="宋体" w:eastAsia="宋体" w:hAnsi="宋体" w:cs="宋体"/>
                <w:b/>
                <w:bCs/>
                <w:kern w:val="0"/>
                <w:sz w:val="24"/>
                <w:szCs w:val="24"/>
              </w:rPr>
              <w:t>拟调减</w:t>
            </w:r>
          </w:p>
          <w:p w:rsidR="00D26E46" w:rsidRPr="00D26E46" w:rsidRDefault="00D26E46" w:rsidP="00D26E46">
            <w:pPr>
              <w:widowControl/>
              <w:jc w:val="center"/>
              <w:rPr>
                <w:rFonts w:ascii="宋体" w:eastAsia="宋体" w:hAnsi="宋体" w:cs="宋体"/>
                <w:b/>
                <w:bCs/>
                <w:kern w:val="0"/>
                <w:sz w:val="24"/>
                <w:szCs w:val="24"/>
              </w:rPr>
            </w:pPr>
            <w:r w:rsidRPr="00D26E46">
              <w:rPr>
                <w:rFonts w:ascii="宋体" w:eastAsia="宋体" w:hAnsi="宋体" w:cs="宋体"/>
                <w:b/>
                <w:bCs/>
                <w:kern w:val="0"/>
                <w:sz w:val="24"/>
                <w:szCs w:val="24"/>
              </w:rPr>
              <w:t>招生数</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560105</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环境艺术设计</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1683</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682</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180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560702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物业管理</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734</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248</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60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590110</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w:t>
            </w:r>
            <w:proofErr w:type="gramStart"/>
            <w:r w:rsidRPr="00D26E46">
              <w:rPr>
                <w:rFonts w:ascii="宋体" w:eastAsia="宋体" w:hAnsi="宋体" w:cs="宋体"/>
                <w:kern w:val="0"/>
                <w:sz w:val="24"/>
                <w:szCs w:val="24"/>
              </w:rPr>
              <w:t>动漫设计</w:t>
            </w:r>
            <w:proofErr w:type="gramEnd"/>
            <w:r w:rsidRPr="00D26E46">
              <w:rPr>
                <w:rFonts w:ascii="宋体" w:eastAsia="宋体" w:hAnsi="宋体" w:cs="宋体"/>
                <w:kern w:val="0"/>
                <w:sz w:val="24"/>
                <w:szCs w:val="24"/>
              </w:rPr>
              <w:t>与制作</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2017</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737</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180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620110</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证券投资与管理</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460</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169</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5</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620304</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国际贸易实务</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1021</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293</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60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6</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620501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工商企业管理</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1480</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515</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120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7</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620504</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连锁经营管理</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1253</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438</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120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8</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660107</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w:t>
            </w:r>
            <w:proofErr w:type="gramStart"/>
            <w:r w:rsidRPr="00D26E46">
              <w:rPr>
                <w:rFonts w:ascii="宋体" w:eastAsia="宋体" w:hAnsi="宋体" w:cs="宋体"/>
                <w:kern w:val="0"/>
                <w:sz w:val="24"/>
                <w:szCs w:val="24"/>
              </w:rPr>
              <w:t>应用韩语</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1019</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354</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90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9</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660108</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商务英语</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2341</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684</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180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10</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670101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艺术设计</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3250</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870</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210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11</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670103</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视觉传达艺术设计</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803</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309</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60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670104</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电脑艺术设计</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924</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250</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60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13</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670106</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装潢艺术设计</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1044</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318</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90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14</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670112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广告设计与制作</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2314</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619</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150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lastRenderedPageBreak/>
              <w:t>15</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670202</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音乐表演</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483</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182</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60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16</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670305</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影视动画</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448</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117</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30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17</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690104</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法律事务</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934</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198</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60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18</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690105</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书记官</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548</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212</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60</w:t>
            </w:r>
          </w:p>
        </w:tc>
      </w:tr>
      <w:tr w:rsidR="00D26E46" w:rsidRPr="00D26E46" w:rsidTr="00D26E46">
        <w:trPr>
          <w:trHeight w:val="502"/>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w:t>
            </w:r>
          </w:p>
        </w:tc>
        <w:tc>
          <w:tcPr>
            <w:tcW w:w="0" w:type="auto"/>
            <w:gridSpan w:val="2"/>
            <w:tcBorders>
              <w:top w:val="outset" w:sz="6" w:space="0" w:color="auto"/>
              <w:left w:val="outset" w:sz="6" w:space="0" w:color="auto"/>
              <w:bottom w:val="outset" w:sz="6" w:space="0" w:color="auto"/>
              <w:right w:val="outset" w:sz="6" w:space="0" w:color="auto"/>
            </w:tcBorders>
            <w:noWrap/>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 xml:space="preserve">　　合计</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22756</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7195</w:t>
            </w:r>
          </w:p>
        </w:tc>
        <w:tc>
          <w:tcPr>
            <w:tcW w:w="0" w:type="auto"/>
            <w:tcBorders>
              <w:top w:val="outset" w:sz="6" w:space="0" w:color="auto"/>
              <w:left w:val="outset" w:sz="6" w:space="0" w:color="auto"/>
              <w:bottom w:val="outset" w:sz="6" w:space="0" w:color="auto"/>
              <w:right w:val="outset" w:sz="6" w:space="0" w:color="auto"/>
            </w:tcBorders>
            <w:vAlign w:val="center"/>
            <w:hideMark/>
          </w:tcPr>
          <w:p w:rsidR="00D26E46" w:rsidRPr="00D26E46" w:rsidRDefault="00D26E46" w:rsidP="00D26E46">
            <w:pPr>
              <w:widowControl/>
              <w:jc w:val="center"/>
              <w:rPr>
                <w:rFonts w:ascii="宋体" w:eastAsia="宋体" w:hAnsi="宋体" w:cs="宋体"/>
                <w:kern w:val="0"/>
                <w:sz w:val="24"/>
                <w:szCs w:val="24"/>
              </w:rPr>
            </w:pPr>
            <w:r w:rsidRPr="00D26E46">
              <w:rPr>
                <w:rFonts w:ascii="宋体" w:eastAsia="宋体" w:hAnsi="宋体" w:cs="宋体"/>
                <w:kern w:val="0"/>
                <w:sz w:val="24"/>
                <w:szCs w:val="24"/>
              </w:rPr>
              <w:t>1800</w:t>
            </w:r>
          </w:p>
        </w:tc>
      </w:tr>
    </w:tbl>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（三）积极推动本科高校向应用型转变</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加强省级统筹，将高校转型发展工作列入省教育体制改革领导小组重要工作日程；省教育厅、省人力资源和社会保障厅、省财政厅等厅局应对转型发展的高校给予政策倾斜；建立转型发展工作实施情况跟踪、监督机制和动态管理机制。全面推进地方本科高校以提升服务能力为导向，向应用型转变，把办学思路真正转到服务地方经济社会发展上来，转到产教融合、校企合作上来，转到培养应用型人才上来，转到增强学生就业创业能力上来。</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紧密结合经济社会发展需求和高校实际，形成推进转型发展的政策合力，切实通过转型促进高校内涵发展、特色发展。充分发挥《向应用型转变试点学校指导性评价指标体系》和《向应用型转变试点专业指导性评价指标体系》的导向作用，引导试点高校在办学理念、办学定位、专业建设、培养模式、师资队伍等方面进行系统性改革。引导试点专业在课程体系、教学内容、教学模式、质量保障等方面进行探索。</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2016年，</w:t>
      </w:r>
      <w:proofErr w:type="gramStart"/>
      <w:r w:rsidRPr="00D26E46">
        <w:rPr>
          <w:rFonts w:ascii="宋体" w:eastAsia="宋体" w:hAnsi="宋体" w:cs="宋体" w:hint="eastAsia"/>
          <w:color w:val="000000"/>
          <w:kern w:val="0"/>
          <w:sz w:val="23"/>
          <w:szCs w:val="23"/>
        </w:rPr>
        <w:t>转型试点</w:t>
      </w:r>
      <w:proofErr w:type="gramEnd"/>
      <w:r w:rsidRPr="00D26E46">
        <w:rPr>
          <w:rFonts w:ascii="宋体" w:eastAsia="宋体" w:hAnsi="宋体" w:cs="宋体" w:hint="eastAsia"/>
          <w:color w:val="000000"/>
          <w:kern w:val="0"/>
          <w:sz w:val="23"/>
          <w:szCs w:val="23"/>
        </w:rPr>
        <w:t>学校达到20所左右、试点专业达到200个左右；2017年，启动建设10所转型发展示范学校和100个转型发展示范专业，形成辐射引领、全面带动的格局，全省除部委属院校外，培养应用型人才的专业占比达到70%左右，应用型人才年培养规模达到12万人左右；到2020年，建设5所高水平应用技术型大学。</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（四）建立“政校企”战略联盟</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以政府主导，协调高校、行业企业，建立高校人才培养与辽宁经济社会发展、产业集群建设、产业升级等社会需求对接机制。明确各级政府、行业主管部门和企</w:t>
      </w:r>
      <w:r w:rsidRPr="00D26E46">
        <w:rPr>
          <w:rFonts w:ascii="宋体" w:eastAsia="宋体" w:hAnsi="宋体" w:cs="宋体" w:hint="eastAsia"/>
          <w:color w:val="000000"/>
          <w:kern w:val="0"/>
          <w:sz w:val="23"/>
          <w:szCs w:val="23"/>
        </w:rPr>
        <w:lastRenderedPageBreak/>
        <w:t>业在社会需求分析与预测、促进高校围绕社会需求办学、人才培养和使用、人才接续培养等方面的职责。本着自愿平等、权责对等、互惠共赢的原则，由各市政府牵头，建立由市政府、相关行业主管部门、行业企业及相关高校组成的“政校企”战略联盟。按照本市重点行业、支柱产业和重大项目建设情况，组织本市政府职能部门专家、行业和企业专家，以及高校学科建设专家、相关院系和教学研究室，建立专业建设指导委员会。推动联盟成员根据区域经济社会发展需要，打破部门界限、隶属关系、所有制性质，在制定区域经济社会发展人才需求规划、设置与调整专业、制定人才培养标准、创新人才培养模式、促进大学生就业创业等方面开展深度合作。鼓励高校与企业联合成立机器人、智能制造、新一代信息技术等方面的二级学院。自2016年起，各市都要组建“政校企”战略联盟并开展工作。力争到2020年实现人才培养的规模、结构、质量更加适应区域经济社会发展，校企合作更加深入，创新创业教育成效明显，“政校企”合作的互动机制、激励机制、监督机制、动态评价机制基本建立。</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（五）创新人才培养机制和模式</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依托高校一流特色学科，培养经济社会急需的高层次创新创业人才和高级专门人才。推动高校与行业企业、科研院所开展联合培养工作。鼓励学校与地方政府、企事业单位开展合作项目，引导研究生参与产学研合作研究，提高研究生创新能力和职业能力。到2020年，建立50个研究生创新与学术交流中心，设立100个研究生联合培养项目。</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通过共建研究院、协同创新基地、工程实践教育基地、工程研究中心等平台，发挥人才密集、仪器设备先进、信息灵通等优势，创新人才联合培养的新途径。继续组织实施省级“卓越工程师教育培养工程”，落实国家系列“卓越计划”，推广改革成果，支持高校和专业集群与行业、企业、实务部门开展深度合作，以提升大学生创新实践能力和就业创业能力为重点，科学制定实施多样化人才培养方案。引导高校紧跟科学发展和技术进步，设计课程体系，优化课程结构，整合相关课程，形成突出实践能力培养的课程群或课程模块，深化体现行业产业发展、技术进步和社会建设要求的课程体系改革。</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把以促进人的全面发展和适应社会需要作为衡量人才培养水平的根本标准，着力培养学生的社会责任感、勇于探索的创新精神、善于解决实际问题的能力。大力</w:t>
      </w:r>
      <w:r w:rsidRPr="00D26E46">
        <w:rPr>
          <w:rFonts w:ascii="宋体" w:eastAsia="宋体" w:hAnsi="宋体" w:cs="宋体" w:hint="eastAsia"/>
          <w:color w:val="000000"/>
          <w:kern w:val="0"/>
          <w:sz w:val="23"/>
          <w:szCs w:val="23"/>
        </w:rPr>
        <w:lastRenderedPageBreak/>
        <w:t>推进学生课程学业水平评价改革，注重对学习过程的考查和能力的评价，建立促进学生实践能力和综合素质提高的评价方式。</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改革实践教学内容、方法和手段，合理安排实训、实习、社会实践等环节。积极与行业企业、实务部门等共建校外实践教育基地，探索共建共管共享的长效机制。统筹各种资源，面向装备制造等支柱产业，建设大型公共实训基地，探索建立优化实</w:t>
      </w:r>
      <w:proofErr w:type="gramStart"/>
      <w:r w:rsidRPr="00D26E46">
        <w:rPr>
          <w:rFonts w:ascii="宋体" w:eastAsia="宋体" w:hAnsi="宋体" w:cs="宋体" w:hint="eastAsia"/>
          <w:color w:val="000000"/>
          <w:kern w:val="0"/>
          <w:sz w:val="23"/>
          <w:szCs w:val="23"/>
        </w:rPr>
        <w:t>训资源</w:t>
      </w:r>
      <w:proofErr w:type="gramEnd"/>
      <w:r w:rsidRPr="00D26E46">
        <w:rPr>
          <w:rFonts w:ascii="宋体" w:eastAsia="宋体" w:hAnsi="宋体" w:cs="宋体" w:hint="eastAsia"/>
          <w:color w:val="000000"/>
          <w:kern w:val="0"/>
          <w:sz w:val="23"/>
          <w:szCs w:val="23"/>
        </w:rPr>
        <w:t>配置和管理的运行机制。根据人才培养的实际需要，利用现代信息技术，加强实践教学条件建设。</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围绕支柱产业和战略新兴产业以及区域性产业集群发展，选择省级以上示范高职院校牵头，与行业企业和相关职业院校共建职教集团，推进区域教育链、人才链、产业链的有机衔接。</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（六）加强创新创业人才培养</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加强学术学位研究生科研能力训练，强化课程学习与科学研究相结合，引导研究生参与前沿性、高水平科学研究；组织专业学位研究生深入行业企业，参与生产实践，在产学研合作中开展科技创新，提升学生的实践能力和创业能力。实施创新创业人才培养计划，面向辽宁重点产业和新型产业，建立紧密对接产业链的研究生培养体系，培养一批富有创新精神和实践能力的应用型、复合型、技能型人才。支持有条件的企业和科研院所设立博士后工作站，培养高层次技术创新人才。</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把创新创业教育贯穿于人才培养的全过程，推进创新创业教育与专业教育的深度融合。强化创新创业实践教育，建设跨学科、跨专业、跨年级的创新创业教育实训平台，培养学生的创新意识、创新能力和创业能力。健全创新创业课程体系，推动创新创业教育教学改革，加强创新创业教育师资队伍建设。</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推动职业院校与政府部门、企业和科研机构建立协同培养创新创业人才新机制，举办以服务产业链为目标、</w:t>
      </w:r>
      <w:proofErr w:type="gramStart"/>
      <w:r w:rsidRPr="00D26E46">
        <w:rPr>
          <w:rFonts w:ascii="宋体" w:eastAsia="宋体" w:hAnsi="宋体" w:cs="宋体" w:hint="eastAsia"/>
          <w:color w:val="000000"/>
          <w:kern w:val="0"/>
          <w:sz w:val="23"/>
          <w:szCs w:val="23"/>
        </w:rPr>
        <w:t>融人才</w:t>
      </w:r>
      <w:proofErr w:type="gramEnd"/>
      <w:r w:rsidRPr="00D26E46">
        <w:rPr>
          <w:rFonts w:ascii="宋体" w:eastAsia="宋体" w:hAnsi="宋体" w:cs="宋体" w:hint="eastAsia"/>
          <w:color w:val="000000"/>
          <w:kern w:val="0"/>
          <w:sz w:val="23"/>
          <w:szCs w:val="23"/>
        </w:rPr>
        <w:t>培养和职工培训为一体的混合所有制二级学院（专业）。促进专业教育与创新创业教育有机融合，到2020年，支持高职院校建设50个以“教学产品”为纽带的创新型实训基地，依托职业教育园区或职业教育集团建立6个大型公共实训基地。组织开发30个针对不同生源特点、符合高层次技术技能人才培养规律的示范性本科层次职业教育专业人才培养方案。组织制定20个实践导向、遵循高层次应用型专门人才培养规律的专业硕士人才培养方案。</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（七）推进优质资源建设与共享</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lastRenderedPageBreak/>
        <w:t xml:space="preserve">　　进一步完善“在线学习平台”，探索实践多种形式课程学习方式，扎实推进基于省级精品开放课程平台和在线学习平台的跨校修读课程、学分互认工作，带动教学内容、课程体系、教学模式等改革。出台推进我省精品开放课程建设与应用共享的实施办法，进一步加强开放课程和平台的建设与管理，促进课程推广和应用。做好精品开放课程建设选题顶层设计，满足经济社会发展对精品开放课程的需求，凸显课程建设特色，提高课程建设质量。积极鼓励和支持有条件的高校联合组建区域教学联盟，促进区域优质教学资源共享。</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（八）加强国际交流与合作</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积极引进国外优质教育资源和教学模式，加快培育国际化的创新人才。鼓励高校建设高水平的中外合作办学项目和机构，发挥示范和引领作用，提升中外合作办学质量和水平。根据地方经济发展和学校学科建设的需要，支持本科院校在主导产业和新兴产业需要的学科领域开展中外合作办学项目和机构。鼓励和支持高等职业院校与高质量的国外院校开展合作办学、境外实习实训、引进国际职业资格证书课程体系等项目，培养经济社会发展所需要的高素质实用型人才。着眼于拓展学生的国际视野，增强学生参与国际竞争的能力，提高学科专业的国际知名度，积极推进高等学校课程体系国际化。</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四、 保障措施</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（一）切实加强对高校人才培养工作的领导</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省人民政府牵头成立由教育、人力资源社会保障、发展改革、经信、国资、财政、物价、税务等相关部门组成的领导小组，领导高校人才培养工作，解决全省高校人才培养过程中遇到的重大问题。将高校人才培养规划纳入到区域经济社会事业发展整体规划之中，使高等教育人才培养规划由软指标变为硬任务，增强对高校人才培养规划的约束力。</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（二）加强高校师资队伍建设</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建立健全有利于高校人才培养的教师激励政策，充分调动教师的积极性。保障教师的政治地位、社会地位、职业地位，维护教师的合法权益，随着经济发展不断提高教师待遇，依法保障教师收入水平，完善教师医疗、养老、住房等社会保障制度。完善教师企业实践制度，探索建立高校教师与企业培训师资源共建、共享机制。</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t xml:space="preserve">　　（三）建立保障高校人才培养质量的制度和机制</w:t>
      </w:r>
    </w:p>
    <w:p w:rsidR="00D26E46" w:rsidRPr="00D26E46" w:rsidRDefault="00D26E46" w:rsidP="00D26E46">
      <w:pPr>
        <w:widowControl/>
        <w:spacing w:line="469" w:lineRule="atLeast"/>
        <w:jc w:val="left"/>
        <w:rPr>
          <w:rFonts w:ascii="宋体" w:eastAsia="宋体" w:hAnsi="宋体" w:cs="宋体" w:hint="eastAsia"/>
          <w:color w:val="000000"/>
          <w:kern w:val="0"/>
          <w:sz w:val="23"/>
          <w:szCs w:val="23"/>
        </w:rPr>
      </w:pPr>
      <w:r w:rsidRPr="00D26E46">
        <w:rPr>
          <w:rFonts w:ascii="宋体" w:eastAsia="宋体" w:hAnsi="宋体" w:cs="宋体" w:hint="eastAsia"/>
          <w:color w:val="000000"/>
          <w:kern w:val="0"/>
          <w:sz w:val="23"/>
          <w:szCs w:val="23"/>
        </w:rPr>
        <w:lastRenderedPageBreak/>
        <w:t>建立全省研究生教育质量信息平台，及时公开学位与研究生教育信息，定期发布研究生教育质量报告。建立研究生教育质量信息分析和预警机制，做好硕士学位授权点合格评估和硕士学位论文抽检工作。逐步建立独立、科学、公正的研究生教育质量社会评价机制。继续完善本科专业设置预警与服务机制，通过公布年度建议高校暂缓增设专业名单、公布全省普通高校本科专业信息等，强化信息服务；继续探索实施新设专业评估专项约谈、专业综合评价结果反馈及公开制度，</w:t>
      </w:r>
      <w:proofErr w:type="gramStart"/>
      <w:r w:rsidRPr="00D26E46">
        <w:rPr>
          <w:rFonts w:ascii="宋体" w:eastAsia="宋体" w:hAnsi="宋体" w:cs="宋体" w:hint="eastAsia"/>
          <w:color w:val="000000"/>
          <w:kern w:val="0"/>
          <w:sz w:val="23"/>
          <w:szCs w:val="23"/>
        </w:rPr>
        <w:t>以评促建</w:t>
      </w:r>
      <w:proofErr w:type="gramEnd"/>
      <w:r w:rsidRPr="00D26E46">
        <w:rPr>
          <w:rFonts w:ascii="宋体" w:eastAsia="宋体" w:hAnsi="宋体" w:cs="宋体" w:hint="eastAsia"/>
          <w:color w:val="000000"/>
          <w:kern w:val="0"/>
          <w:sz w:val="23"/>
          <w:szCs w:val="23"/>
        </w:rPr>
        <w:t>、以评促改；探索建立依据新设专业评估、专业综合评价等结果的教育资源配置机制，突出重点，集中力量做强骨干、优势及特色专业（群），逐步形成人才培养的动态调整和良性循环机制。</w:t>
      </w:r>
    </w:p>
    <w:p w:rsidR="00DF17AC" w:rsidRPr="00D26E46" w:rsidRDefault="00DF17AC" w:rsidP="00D26E46"/>
    <w:sectPr w:rsidR="00DF17AC" w:rsidRPr="00D26E46" w:rsidSect="00DF17A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26E46"/>
    <w:rsid w:val="0005170C"/>
    <w:rsid w:val="00183DF9"/>
    <w:rsid w:val="007F3DA7"/>
    <w:rsid w:val="00D26E46"/>
    <w:rsid w:val="00DF17A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6E46"/>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05170C"/>
    <w:pPr>
      <w:keepNext/>
      <w:keepLines/>
      <w:spacing w:before="200" w:after="200" w:line="578" w:lineRule="auto"/>
      <w:outlineLvl w:val="0"/>
    </w:pPr>
    <w:rPr>
      <w:rFonts w:ascii="Times New Roman" w:eastAsia="黑体" w:hAnsi="Times New Roman" w:cs="Times New Roman"/>
      <w:b/>
      <w:bCs/>
      <w:kern w:val="44"/>
      <w:sz w:val="32"/>
      <w:szCs w:val="44"/>
    </w:rPr>
  </w:style>
  <w:style w:type="paragraph" w:styleId="3">
    <w:name w:val="heading 3"/>
    <w:basedOn w:val="a"/>
    <w:next w:val="a"/>
    <w:link w:val="3Char"/>
    <w:qFormat/>
    <w:rsid w:val="0005170C"/>
    <w:pPr>
      <w:keepNext/>
      <w:keepLines/>
      <w:spacing w:before="260" w:after="260" w:line="416" w:lineRule="auto"/>
      <w:outlineLvl w:val="2"/>
    </w:pPr>
    <w:rPr>
      <w:rFonts w:ascii="Calibri" w:eastAsia="宋体" w:hAnsi="Calibri"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05170C"/>
    <w:rPr>
      <w:rFonts w:eastAsia="黑体"/>
      <w:b/>
      <w:bCs/>
      <w:kern w:val="44"/>
      <w:sz w:val="32"/>
      <w:szCs w:val="44"/>
    </w:rPr>
  </w:style>
  <w:style w:type="character" w:customStyle="1" w:styleId="3Char">
    <w:name w:val="标题 3 Char"/>
    <w:basedOn w:val="a0"/>
    <w:link w:val="3"/>
    <w:rsid w:val="0005170C"/>
    <w:rPr>
      <w:rFonts w:ascii="Calibri" w:hAnsi="Calibri"/>
      <w:b/>
      <w:bCs/>
      <w:kern w:val="2"/>
      <w:sz w:val="32"/>
      <w:szCs w:val="32"/>
    </w:rPr>
  </w:style>
  <w:style w:type="paragraph" w:styleId="a3">
    <w:name w:val="Normal (Web)"/>
    <w:basedOn w:val="a"/>
    <w:uiPriority w:val="99"/>
    <w:unhideWhenUsed/>
    <w:rsid w:val="00D26E46"/>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D26E46"/>
    <w:rPr>
      <w:color w:val="0000FF"/>
      <w:u w:val="single"/>
    </w:rPr>
  </w:style>
  <w:style w:type="character" w:styleId="a5">
    <w:name w:val="FollowedHyperlink"/>
    <w:basedOn w:val="a0"/>
    <w:uiPriority w:val="99"/>
    <w:semiHidden/>
    <w:unhideWhenUsed/>
    <w:rsid w:val="00D26E46"/>
    <w:rPr>
      <w:color w:val="800080"/>
      <w:u w:val="single"/>
    </w:rPr>
  </w:style>
</w:styles>
</file>

<file path=word/webSettings.xml><?xml version="1.0" encoding="utf-8"?>
<w:webSettings xmlns:r="http://schemas.openxmlformats.org/officeDocument/2006/relationships" xmlns:w="http://schemas.openxmlformats.org/wordprocessingml/2006/main">
  <w:divs>
    <w:div w:id="751125100">
      <w:bodyDiv w:val="1"/>
      <w:marLeft w:val="0"/>
      <w:marRight w:val="0"/>
      <w:marTop w:val="0"/>
      <w:marBottom w:val="0"/>
      <w:divBdr>
        <w:top w:val="none" w:sz="0" w:space="0" w:color="auto"/>
        <w:left w:val="none" w:sz="0" w:space="0" w:color="auto"/>
        <w:bottom w:val="none" w:sz="0" w:space="0" w:color="auto"/>
        <w:right w:val="none" w:sz="0" w:space="0" w:color="auto"/>
      </w:divBdr>
      <w:divsChild>
        <w:div w:id="1250382439">
          <w:marLeft w:val="0"/>
          <w:marRight w:val="0"/>
          <w:marTop w:val="0"/>
          <w:marBottom w:val="0"/>
          <w:divBdr>
            <w:top w:val="none" w:sz="0" w:space="0" w:color="auto"/>
            <w:left w:val="none" w:sz="0" w:space="0" w:color="auto"/>
            <w:bottom w:val="none" w:sz="0" w:space="0" w:color="auto"/>
            <w:right w:val="none" w:sz="0" w:space="0" w:color="auto"/>
          </w:divBdr>
        </w:div>
        <w:div w:id="2062706553">
          <w:marLeft w:val="0"/>
          <w:marRight w:val="0"/>
          <w:marTop w:val="335"/>
          <w:marBottom w:val="0"/>
          <w:divBdr>
            <w:top w:val="none" w:sz="0" w:space="0" w:color="auto"/>
            <w:left w:val="none" w:sz="0" w:space="0" w:color="auto"/>
            <w:bottom w:val="none" w:sz="0" w:space="0" w:color="auto"/>
            <w:right w:val="none" w:sz="0" w:space="0" w:color="auto"/>
          </w:divBdr>
          <w:divsChild>
            <w:div w:id="69620485">
              <w:marLeft w:val="0"/>
              <w:marRight w:val="0"/>
              <w:marTop w:val="0"/>
              <w:marBottom w:val="0"/>
              <w:divBdr>
                <w:top w:val="none" w:sz="0" w:space="0" w:color="auto"/>
                <w:left w:val="none" w:sz="0" w:space="0" w:color="auto"/>
                <w:bottom w:val="none" w:sz="0" w:space="0" w:color="auto"/>
                <w:right w:val="none" w:sz="0" w:space="0" w:color="auto"/>
              </w:divBdr>
              <w:divsChild>
                <w:div w:id="1293049412">
                  <w:marLeft w:val="0"/>
                  <w:marRight w:val="0"/>
                  <w:marTop w:val="0"/>
                  <w:marBottom w:val="0"/>
                  <w:divBdr>
                    <w:top w:val="none" w:sz="0" w:space="0" w:color="auto"/>
                    <w:left w:val="none" w:sz="0" w:space="0" w:color="auto"/>
                    <w:bottom w:val="none" w:sz="0" w:space="0" w:color="auto"/>
                    <w:right w:val="none" w:sz="0" w:space="0" w:color="auto"/>
                  </w:divBdr>
                </w:div>
                <w:div w:id="55592140">
                  <w:marLeft w:val="0"/>
                  <w:marRight w:val="0"/>
                  <w:marTop w:val="0"/>
                  <w:marBottom w:val="0"/>
                  <w:divBdr>
                    <w:top w:val="none" w:sz="0" w:space="0" w:color="auto"/>
                    <w:left w:val="none" w:sz="0" w:space="0" w:color="auto"/>
                    <w:bottom w:val="none" w:sz="0" w:space="0" w:color="auto"/>
                    <w:right w:val="none" w:sz="0" w:space="0" w:color="auto"/>
                  </w:divBdr>
                </w:div>
                <w:div w:id="1574242675">
                  <w:marLeft w:val="0"/>
                  <w:marRight w:val="0"/>
                  <w:marTop w:val="0"/>
                  <w:marBottom w:val="0"/>
                  <w:divBdr>
                    <w:top w:val="none" w:sz="0" w:space="0" w:color="auto"/>
                    <w:left w:val="none" w:sz="0" w:space="0" w:color="auto"/>
                    <w:bottom w:val="none" w:sz="0" w:space="0" w:color="auto"/>
                    <w:right w:val="none" w:sz="0" w:space="0" w:color="auto"/>
                  </w:divBdr>
                </w:div>
                <w:div w:id="476799798">
                  <w:marLeft w:val="0"/>
                  <w:marRight w:val="0"/>
                  <w:marTop w:val="0"/>
                  <w:marBottom w:val="0"/>
                  <w:divBdr>
                    <w:top w:val="none" w:sz="0" w:space="0" w:color="auto"/>
                    <w:left w:val="none" w:sz="0" w:space="0" w:color="auto"/>
                    <w:bottom w:val="none" w:sz="0" w:space="0" w:color="auto"/>
                    <w:right w:val="none" w:sz="0" w:space="0" w:color="auto"/>
                  </w:divBdr>
                </w:div>
                <w:div w:id="936983765">
                  <w:marLeft w:val="0"/>
                  <w:marRight w:val="0"/>
                  <w:marTop w:val="0"/>
                  <w:marBottom w:val="0"/>
                  <w:divBdr>
                    <w:top w:val="none" w:sz="0" w:space="0" w:color="auto"/>
                    <w:left w:val="none" w:sz="0" w:space="0" w:color="auto"/>
                    <w:bottom w:val="none" w:sz="0" w:space="0" w:color="auto"/>
                    <w:right w:val="none" w:sz="0" w:space="0" w:color="auto"/>
                  </w:divBdr>
                </w:div>
                <w:div w:id="1204291733">
                  <w:marLeft w:val="0"/>
                  <w:marRight w:val="0"/>
                  <w:marTop w:val="0"/>
                  <w:marBottom w:val="0"/>
                  <w:divBdr>
                    <w:top w:val="none" w:sz="0" w:space="0" w:color="auto"/>
                    <w:left w:val="none" w:sz="0" w:space="0" w:color="auto"/>
                    <w:bottom w:val="none" w:sz="0" w:space="0" w:color="auto"/>
                    <w:right w:val="none" w:sz="0" w:space="0" w:color="auto"/>
                  </w:divBdr>
                </w:div>
                <w:div w:id="1167941018">
                  <w:marLeft w:val="0"/>
                  <w:marRight w:val="0"/>
                  <w:marTop w:val="0"/>
                  <w:marBottom w:val="0"/>
                  <w:divBdr>
                    <w:top w:val="none" w:sz="0" w:space="0" w:color="auto"/>
                    <w:left w:val="none" w:sz="0" w:space="0" w:color="auto"/>
                    <w:bottom w:val="none" w:sz="0" w:space="0" w:color="auto"/>
                    <w:right w:val="none" w:sz="0" w:space="0" w:color="auto"/>
                  </w:divBdr>
                </w:div>
                <w:div w:id="2013793393">
                  <w:marLeft w:val="0"/>
                  <w:marRight w:val="0"/>
                  <w:marTop w:val="0"/>
                  <w:marBottom w:val="0"/>
                  <w:divBdr>
                    <w:top w:val="none" w:sz="0" w:space="0" w:color="auto"/>
                    <w:left w:val="none" w:sz="0" w:space="0" w:color="auto"/>
                    <w:bottom w:val="none" w:sz="0" w:space="0" w:color="auto"/>
                    <w:right w:val="none" w:sz="0" w:space="0" w:color="auto"/>
                  </w:divBdr>
                </w:div>
                <w:div w:id="1453868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y.upln.cn/spec/081004.html" TargetMode="External"/><Relationship Id="rId5" Type="http://schemas.openxmlformats.org/officeDocument/2006/relationships/hyperlink" Target="http://zy.upln.cn/spec/080604T.html" TargetMode="External"/><Relationship Id="rId4" Type="http://schemas.openxmlformats.org/officeDocument/2006/relationships/hyperlink" Target="http://zy.upln.cn/spec/080503T.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2722</Words>
  <Characters>15516</Characters>
  <Application>Microsoft Office Word</Application>
  <DocSecurity>0</DocSecurity>
  <Lines>129</Lines>
  <Paragraphs>36</Paragraphs>
  <ScaleCrop>false</ScaleCrop>
  <Company>微软中国</Company>
  <LinksUpToDate>false</LinksUpToDate>
  <CharactersWithSpaces>18202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cp:revision>
  <dcterms:created xsi:type="dcterms:W3CDTF">2016-11-25T01:45:00Z</dcterms:created>
  <dcterms:modified xsi:type="dcterms:W3CDTF">2016-11-25T01:46:00Z</dcterms:modified>
</cp:coreProperties>
</file>